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EE34E">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color w:val="333333"/>
          <w:kern w:val="0"/>
          <w:sz w:val="44"/>
          <w:szCs w:val="44"/>
          <w:lang w:val="en-US" w:eastAsia="zh-CN"/>
        </w:rPr>
      </w:pPr>
      <w:bookmarkStart w:id="0" w:name="_GoBack"/>
      <w:bookmarkEnd w:id="0"/>
      <w:r>
        <w:rPr>
          <w:rFonts w:hint="default" w:ascii="方正小标宋简体" w:hAnsi="方正小标宋简体" w:eastAsia="方正小标宋简体" w:cs="方正小标宋简体"/>
          <w:color w:val="333333"/>
          <w:kern w:val="0"/>
          <w:sz w:val="44"/>
          <w:szCs w:val="44"/>
          <w:lang w:val="en-US" w:eastAsia="zh-CN"/>
        </w:rPr>
        <w:t>关于《北京市推动医疗器械批发企业多仓协同创新发展的工作方案（试行）》</w:t>
      </w:r>
    </w:p>
    <w:p w14:paraId="5A2DC26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color w:val="333333"/>
          <w:kern w:val="0"/>
          <w:sz w:val="44"/>
          <w:szCs w:val="44"/>
          <w:lang w:val="en-US" w:eastAsia="zh-CN"/>
        </w:rPr>
      </w:pPr>
      <w:r>
        <w:rPr>
          <w:rFonts w:hint="default" w:ascii="方正小标宋简体" w:hAnsi="方正小标宋简体" w:eastAsia="方正小标宋简体" w:cs="方正小标宋简体"/>
          <w:color w:val="333333"/>
          <w:kern w:val="0"/>
          <w:sz w:val="44"/>
          <w:szCs w:val="44"/>
          <w:lang w:val="en-US" w:eastAsia="zh-CN"/>
        </w:rPr>
        <w:t>的起草说明</w:t>
      </w:r>
    </w:p>
    <w:p w14:paraId="23F41AFC">
      <w:pPr>
        <w:pStyle w:val="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rPr>
      </w:pPr>
    </w:p>
    <w:p w14:paraId="32C8CBB5">
      <w:pPr>
        <w:pStyle w:val="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一、起草的背景和必要性</w:t>
      </w:r>
    </w:p>
    <w:p w14:paraId="78230E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当前，本市医疗器械批发企业仓储分散、物流资源割裂，库房闲置与仓储紧张并存，冷链储运统筹管控不足等问题突出，传统单仓独立运营模式已难以适配规模化、集团化医疗器械经营发展需求。现行《北京市医疗器械经营监督管理办法实施细则》仅对单一仓库、第三方独立物流作出规范，未针对集团内部多仓协同建立标准化管理规则，企业开展相关业务缺乏清晰准入条件与审批监管依据，监管部门亦无统一核查标准，存在监管空白。</w:t>
      </w:r>
    </w:p>
    <w:p w14:paraId="1C4BAE5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国务院办公厅《关于全面深化药品医疗器械监管改革促进医药产业高质量发展的意见》（国办发〔2024〕53号）明确提出优化医疗器械流通资源配置、创新医疗器械仓储物流监管模式、支持集团化企业集约化物流运营的改革方向。《北京市支持创新医药高质量发展若干措施（2026年）》明确将多仓协同物流模式扩展至医疗器械批发企业，依托首都医药产业优势，着力推动创新医疗器械高质量发展，破解医疗器械流通堵点，培育现代医疗器械供应链体系，更好满足人民群众防病治病需求。</w:t>
      </w:r>
    </w:p>
    <w:p w14:paraId="70A5294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为贯彻落实上述部署，支持本市集团型医疗器械批发企业有效整合仓储资源和运输资源，构建更加规范、安全、高效、便捷的现代医疗器械流通体系，</w:t>
      </w:r>
      <w:r>
        <w:rPr>
          <w:rFonts w:hint="eastAsia" w:ascii="仿宋_GB2312" w:hAnsi="仿宋_GB2312" w:eastAsia="仿宋_GB2312" w:cs="Times New Roman"/>
          <w:i w:val="0"/>
          <w:caps w:val="0"/>
          <w:spacing w:val="0"/>
          <w:sz w:val="32"/>
          <w:szCs w:val="32"/>
          <w:shd w:val="clear" w:color="auto" w:fill="auto"/>
          <w:lang w:eastAsia="zh-CN"/>
        </w:rPr>
        <w:t>市药监局</w:t>
      </w:r>
      <w:r>
        <w:rPr>
          <w:rFonts w:hint="default" w:ascii="仿宋_GB2312" w:hAnsi="仿宋_GB2312" w:eastAsia="仿宋_GB2312" w:cs="Times New Roman"/>
          <w:i w:val="0"/>
          <w:caps w:val="0"/>
          <w:spacing w:val="0"/>
          <w:sz w:val="32"/>
          <w:szCs w:val="32"/>
          <w:shd w:val="clear" w:color="auto" w:fill="auto"/>
          <w:lang w:eastAsia="zh-CN"/>
        </w:rPr>
        <w:t>在政策分析、实地调研和征求意见的基础上，制定了《北京市推动医疗器械批发企业多仓协同创新发展的工作方案（试行）》（以下简称《工作方案》）。</w:t>
      </w:r>
    </w:p>
    <w:p w14:paraId="19ED5B60">
      <w:pPr>
        <w:pStyle w:val="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eastAsia="zh-CN"/>
        </w:rPr>
      </w:pPr>
      <w:r>
        <w:rPr>
          <w:rFonts w:hint="default" w:ascii="方正黑体_GBK" w:hAnsi="方正黑体_GBK" w:eastAsia="方正黑体_GBK" w:cs="方正黑体_GBK"/>
          <w:sz w:val="32"/>
          <w:szCs w:val="32"/>
          <w:lang w:eastAsia="zh-CN"/>
        </w:rPr>
        <w:t>二、起草过程</w:t>
      </w:r>
    </w:p>
    <w:p w14:paraId="30FD09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eastAsia" w:ascii="仿宋_GB2312" w:hAnsi="仿宋_GB2312" w:eastAsia="仿宋_GB2312" w:cs="Times New Roman"/>
          <w:i w:val="0"/>
          <w:caps w:val="0"/>
          <w:spacing w:val="0"/>
          <w:sz w:val="32"/>
          <w:szCs w:val="32"/>
          <w:shd w:val="clear" w:color="auto" w:fill="auto"/>
          <w:lang w:eastAsia="zh-CN"/>
        </w:rPr>
        <w:t>市药监局</w:t>
      </w:r>
      <w:r>
        <w:rPr>
          <w:rFonts w:hint="default" w:ascii="仿宋_GB2312" w:hAnsi="仿宋_GB2312" w:eastAsia="仿宋_GB2312" w:cs="Times New Roman"/>
          <w:i w:val="0"/>
          <w:caps w:val="0"/>
          <w:spacing w:val="0"/>
          <w:sz w:val="32"/>
          <w:szCs w:val="32"/>
          <w:shd w:val="clear" w:color="auto" w:fill="auto"/>
          <w:lang w:eastAsia="zh-CN"/>
        </w:rPr>
        <w:t>结合本市医疗器械流通行业发展实际，系统梳理了现行法规政策框架及监管空白，收集了湖北、福建、海南、四川、重庆等外省市相关监管政策经验，并多次赴本市集团型医疗器械批发企业开展实地调研，听取企业关于整合仓储运输资源、开展多仓协同业务的实际需求和政策建议。在前期调研基础上，起草了《工作方案》初稿。</w:t>
      </w:r>
    </w:p>
    <w:p w14:paraId="5BDFEA9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从2026年4月29日至今，分别通过局OA系统和召开征求意见会的形式，征求了各区市场监管局、本市集团型医疗器械批发企业及为医疗器械注册人、备案人和经营企业提供运输、贮存服务企业的意见，共收到反馈意见6条。经研究，采纳了关于优化职责表述的4条建议，其余2条因理解存在偏差或不符合行业实情未予采纳。在此基础上，对《工作方案》进行了进一步修改完善。</w:t>
      </w:r>
    </w:p>
    <w:p w14:paraId="26025956">
      <w:pPr>
        <w:pStyle w:val="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eastAsia="zh-CN"/>
        </w:rPr>
      </w:pPr>
      <w:r>
        <w:rPr>
          <w:rFonts w:hint="default" w:ascii="方正黑体_GBK" w:hAnsi="方正黑体_GBK" w:eastAsia="方正黑体_GBK" w:cs="方正黑体_GBK"/>
          <w:sz w:val="32"/>
          <w:szCs w:val="32"/>
          <w:lang w:eastAsia="zh-CN"/>
        </w:rPr>
        <w:t>三、制定依据</w:t>
      </w:r>
    </w:p>
    <w:p w14:paraId="7468D2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根据《医疗器械监督管理条例》《医疗器械经营监督管理办法》《医疗器械经营质量管理规范》及配套现场检查指导原则、国务院办公厅《关于全面深化药品医疗器械监管改革促进医药产业高质量发展的意见》（国办发〔2024〕53号）、《北京市支持创新医药高质量发展若干措施（2026年）</w:t>
      </w:r>
      <w:r>
        <w:rPr>
          <w:rFonts w:hint="eastAsia" w:ascii="仿宋_GB2312" w:hAnsi="仿宋_GB2312" w:eastAsia="仿宋_GB2312" w:cs="Times New Roman"/>
          <w:i w:val="0"/>
          <w:caps w:val="0"/>
          <w:spacing w:val="0"/>
          <w:sz w:val="32"/>
          <w:szCs w:val="32"/>
          <w:shd w:val="clear" w:color="auto" w:fill="auto"/>
          <w:lang w:eastAsia="zh-CN"/>
        </w:rPr>
        <w:t>》《</w:t>
      </w:r>
      <w:r>
        <w:rPr>
          <w:rFonts w:hint="default" w:ascii="仿宋_GB2312" w:hAnsi="仿宋_GB2312" w:eastAsia="仿宋_GB2312" w:cs="Times New Roman"/>
          <w:i w:val="0"/>
          <w:caps w:val="0"/>
          <w:spacing w:val="0"/>
          <w:sz w:val="32"/>
          <w:szCs w:val="32"/>
          <w:shd w:val="clear" w:color="auto" w:fill="auto"/>
          <w:lang w:eastAsia="zh-CN"/>
        </w:rPr>
        <w:t>北京市医疗器械经营监督管理办法实施细则》等法律法规及规范性文件，结合本市实际，制定本《工作方案》。</w:t>
      </w:r>
    </w:p>
    <w:p w14:paraId="53E68834">
      <w:pPr>
        <w:pStyle w:val="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eastAsia="zh-CN"/>
        </w:rPr>
      </w:pPr>
      <w:r>
        <w:rPr>
          <w:rFonts w:hint="default" w:ascii="方正黑体_GBK" w:hAnsi="方正黑体_GBK" w:eastAsia="方正黑体_GBK" w:cs="方正黑体_GBK"/>
          <w:sz w:val="32"/>
          <w:szCs w:val="32"/>
          <w:lang w:eastAsia="zh-CN"/>
        </w:rPr>
        <w:t>四、主要修订内容</w:t>
      </w:r>
    </w:p>
    <w:p w14:paraId="301F886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i w:val="0"/>
          <w:caps w:val="0"/>
          <w:spacing w:val="0"/>
          <w:sz w:val="32"/>
          <w:szCs w:val="32"/>
          <w:shd w:val="clear" w:color="auto" w:fill="auto"/>
          <w:lang w:eastAsia="zh-CN"/>
        </w:rPr>
      </w:pPr>
      <w:r>
        <w:rPr>
          <w:rFonts w:hint="eastAsia" w:ascii="楷体" w:hAnsi="楷体" w:eastAsia="楷体" w:cs="楷体"/>
          <w:i w:val="0"/>
          <w:caps w:val="0"/>
          <w:spacing w:val="0"/>
          <w:sz w:val="32"/>
          <w:szCs w:val="32"/>
          <w:shd w:val="clear" w:color="auto" w:fill="auto"/>
          <w:lang w:eastAsia="zh-CN"/>
        </w:rPr>
        <w:t>（一）明确适用范围与定义</w:t>
      </w:r>
    </w:p>
    <w:p w14:paraId="4958584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明确医疗器械批发企业多仓协同是指在集团型企业内，由符合条件的主体方与协同方依托信息化手段，共享仓储、运输、人员及信息系统等资源，以集约化方式协同完成医疗器械的储存与配送。原则上，主体方应具备为医疗器械注册人、备案人和经营企业专门提供运输、贮存服务的企业资质，协同方为同一集团内具备相应储运能力的其他医疗器械批发企业。</w:t>
      </w:r>
    </w:p>
    <w:p w14:paraId="0718665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楷体" w:hAnsi="楷体" w:eastAsia="楷体" w:cs="楷体"/>
          <w:i w:val="0"/>
          <w:caps w:val="0"/>
          <w:spacing w:val="0"/>
          <w:sz w:val="32"/>
          <w:szCs w:val="32"/>
          <w:shd w:val="clear" w:color="auto" w:fill="auto"/>
          <w:lang w:eastAsia="zh-CN"/>
        </w:rPr>
      </w:pPr>
      <w:r>
        <w:rPr>
          <w:rFonts w:hint="default" w:ascii="楷体" w:hAnsi="楷体" w:eastAsia="楷体" w:cs="楷体"/>
          <w:i w:val="0"/>
          <w:caps w:val="0"/>
          <w:spacing w:val="0"/>
          <w:sz w:val="32"/>
          <w:szCs w:val="32"/>
          <w:shd w:val="clear" w:color="auto" w:fill="auto"/>
          <w:lang w:eastAsia="zh-CN"/>
        </w:rPr>
        <w:t>（二）细化设置条件</w:t>
      </w:r>
    </w:p>
    <w:p w14:paraId="6AC15C5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eastAsia" w:ascii="楷体" w:hAnsi="楷体" w:eastAsia="楷体" w:cs="楷体"/>
          <w:i w:val="0"/>
          <w:caps w:val="0"/>
          <w:spacing w:val="0"/>
          <w:sz w:val="32"/>
          <w:szCs w:val="32"/>
          <w:shd w:val="clear" w:color="auto" w:fill="auto"/>
          <w:lang w:eastAsia="zh-CN"/>
        </w:rPr>
        <w:t>一是</w:t>
      </w:r>
      <w:r>
        <w:rPr>
          <w:rFonts w:hint="default" w:ascii="仿宋_GB2312" w:hAnsi="仿宋_GB2312" w:eastAsia="仿宋_GB2312" w:cs="Times New Roman"/>
          <w:i w:val="0"/>
          <w:caps w:val="0"/>
          <w:spacing w:val="0"/>
          <w:sz w:val="32"/>
          <w:szCs w:val="32"/>
          <w:shd w:val="clear" w:color="auto" w:fill="auto"/>
          <w:lang w:eastAsia="zh-CN"/>
        </w:rPr>
        <w:t>主体方与协同方均需取得《医疗器械经营许可证》，主体方承担多仓协同管理主体责任。</w:t>
      </w:r>
      <w:r>
        <w:rPr>
          <w:rFonts w:hint="default" w:ascii="楷体" w:hAnsi="楷体" w:eastAsia="楷体" w:cs="楷体"/>
          <w:i w:val="0"/>
          <w:caps w:val="0"/>
          <w:spacing w:val="0"/>
          <w:sz w:val="32"/>
          <w:szCs w:val="32"/>
          <w:shd w:val="clear" w:color="auto" w:fill="auto"/>
          <w:lang w:eastAsia="zh-CN"/>
        </w:rPr>
        <w:t>二是</w:t>
      </w:r>
      <w:r>
        <w:rPr>
          <w:rFonts w:hint="default" w:ascii="仿宋_GB2312" w:hAnsi="仿宋_GB2312" w:eastAsia="仿宋_GB2312" w:cs="Times New Roman"/>
          <w:i w:val="0"/>
          <w:caps w:val="0"/>
          <w:spacing w:val="0"/>
          <w:sz w:val="32"/>
          <w:szCs w:val="32"/>
          <w:shd w:val="clear" w:color="auto" w:fill="auto"/>
          <w:lang w:eastAsia="zh-CN"/>
        </w:rPr>
        <w:t>本市主体方须符合《北京市医疗器械经营监督管理办法实施细则》相关规定；协同方应为与主体方受同一集团实际控制的企业，其自营仓库在同一地址的库房使用面积不得低于500平方米，且仓储条件须满足协同品种的储存要求。</w:t>
      </w:r>
      <w:r>
        <w:rPr>
          <w:rFonts w:hint="default" w:ascii="楷体" w:hAnsi="楷体" w:eastAsia="楷体" w:cs="楷体"/>
          <w:i w:val="0"/>
          <w:caps w:val="0"/>
          <w:spacing w:val="0"/>
          <w:sz w:val="32"/>
          <w:szCs w:val="32"/>
          <w:shd w:val="clear" w:color="auto" w:fill="auto"/>
          <w:lang w:eastAsia="zh-CN"/>
        </w:rPr>
        <w:t>三是</w:t>
      </w:r>
      <w:r>
        <w:rPr>
          <w:rFonts w:hint="default" w:ascii="仿宋_GB2312" w:hAnsi="仿宋_GB2312" w:eastAsia="仿宋_GB2312" w:cs="Times New Roman"/>
          <w:i w:val="0"/>
          <w:caps w:val="0"/>
          <w:spacing w:val="0"/>
          <w:sz w:val="32"/>
          <w:szCs w:val="32"/>
          <w:shd w:val="clear" w:color="auto" w:fill="auto"/>
          <w:lang w:eastAsia="zh-CN"/>
        </w:rPr>
        <w:t>跨省、自治区、直辖市开展多仓协同业务的，相关企业还须符合所在地药品监督管理部门的相应规定。</w:t>
      </w:r>
      <w:r>
        <w:rPr>
          <w:rFonts w:hint="default" w:ascii="楷体" w:hAnsi="楷体" w:eastAsia="楷体" w:cs="楷体"/>
          <w:i w:val="0"/>
          <w:caps w:val="0"/>
          <w:spacing w:val="0"/>
          <w:sz w:val="32"/>
          <w:szCs w:val="32"/>
          <w:shd w:val="clear" w:color="auto" w:fill="auto"/>
          <w:lang w:eastAsia="zh-CN"/>
        </w:rPr>
        <w:t>四是</w:t>
      </w:r>
      <w:r>
        <w:rPr>
          <w:rFonts w:hint="default" w:ascii="仿宋_GB2312" w:hAnsi="仿宋_GB2312" w:eastAsia="仿宋_GB2312" w:cs="Times New Roman"/>
          <w:i w:val="0"/>
          <w:caps w:val="0"/>
          <w:spacing w:val="0"/>
          <w:sz w:val="32"/>
          <w:szCs w:val="32"/>
          <w:shd w:val="clear" w:color="auto" w:fill="auto"/>
          <w:lang w:eastAsia="zh-CN"/>
        </w:rPr>
        <w:t>主体方、协同方应具有统一的医疗器械经营质量管理体系和计算机信息管理系统。</w:t>
      </w:r>
    </w:p>
    <w:p w14:paraId="318FD83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楷体" w:hAnsi="楷体" w:eastAsia="楷体" w:cs="楷体"/>
          <w:i w:val="0"/>
          <w:caps w:val="0"/>
          <w:spacing w:val="0"/>
          <w:sz w:val="32"/>
          <w:szCs w:val="32"/>
          <w:shd w:val="clear" w:color="auto" w:fill="auto"/>
          <w:lang w:eastAsia="zh-CN"/>
        </w:rPr>
      </w:pPr>
      <w:r>
        <w:rPr>
          <w:rFonts w:hint="default" w:ascii="楷体" w:hAnsi="楷体" w:eastAsia="楷体" w:cs="楷体"/>
          <w:i w:val="0"/>
          <w:caps w:val="0"/>
          <w:spacing w:val="0"/>
          <w:sz w:val="32"/>
          <w:szCs w:val="32"/>
          <w:shd w:val="clear" w:color="auto" w:fill="auto"/>
          <w:lang w:eastAsia="zh-CN"/>
        </w:rPr>
        <w:t>（三）创新规范操作规则</w:t>
      </w:r>
    </w:p>
    <w:p w14:paraId="0F87A7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楷体" w:hAnsi="楷体" w:eastAsia="楷体" w:cs="楷体"/>
          <w:i w:val="0"/>
          <w:caps w:val="0"/>
          <w:spacing w:val="0"/>
          <w:sz w:val="32"/>
          <w:szCs w:val="32"/>
          <w:shd w:val="clear" w:color="auto" w:fill="auto"/>
          <w:lang w:eastAsia="zh-CN"/>
        </w:rPr>
        <w:t>一是</w:t>
      </w:r>
      <w:r>
        <w:rPr>
          <w:rFonts w:hint="default" w:ascii="仿宋_GB2312" w:hAnsi="仿宋_GB2312" w:eastAsia="仿宋_GB2312" w:cs="Times New Roman"/>
          <w:i w:val="0"/>
          <w:caps w:val="0"/>
          <w:spacing w:val="0"/>
          <w:sz w:val="32"/>
          <w:szCs w:val="32"/>
          <w:shd w:val="clear" w:color="auto" w:fill="auto"/>
          <w:lang w:eastAsia="zh-CN"/>
        </w:rPr>
        <w:t>仓储管理方面，同一集团的各协同仓之间可在主体方统筹管理下，按照统一指令对医疗器械各环节实施统一质量管理。</w:t>
      </w:r>
      <w:r>
        <w:rPr>
          <w:rFonts w:hint="default" w:ascii="楷体" w:hAnsi="楷体" w:eastAsia="楷体" w:cs="楷体"/>
          <w:i w:val="0"/>
          <w:caps w:val="0"/>
          <w:spacing w:val="0"/>
          <w:sz w:val="32"/>
          <w:szCs w:val="32"/>
          <w:shd w:val="clear" w:color="auto" w:fill="auto"/>
          <w:lang w:eastAsia="zh-CN"/>
        </w:rPr>
        <w:t>二是</w:t>
      </w:r>
      <w:r>
        <w:rPr>
          <w:rFonts w:hint="default" w:ascii="仿宋_GB2312" w:hAnsi="仿宋_GB2312" w:eastAsia="仿宋_GB2312" w:cs="Times New Roman"/>
          <w:i w:val="0"/>
          <w:caps w:val="0"/>
          <w:spacing w:val="0"/>
          <w:sz w:val="32"/>
          <w:szCs w:val="32"/>
          <w:shd w:val="clear" w:color="auto" w:fill="auto"/>
          <w:lang w:eastAsia="zh-CN"/>
        </w:rPr>
        <w:t>物流票据方面，协同方从主体方购进已在协同库房中的多仓协同医疗器械品种的，可通过计算机系统直接完成货主转移，免于收货验收流程，相关质量记录由信息系统自动生成，但须确保票、账、货、款一致。</w:t>
      </w:r>
      <w:r>
        <w:rPr>
          <w:rFonts w:hint="default" w:ascii="楷体" w:hAnsi="楷体" w:eastAsia="楷体" w:cs="楷体"/>
          <w:i w:val="0"/>
          <w:caps w:val="0"/>
          <w:spacing w:val="0"/>
          <w:sz w:val="32"/>
          <w:szCs w:val="32"/>
          <w:shd w:val="clear" w:color="auto" w:fill="auto"/>
          <w:lang w:eastAsia="zh-CN"/>
        </w:rPr>
        <w:t>三是</w:t>
      </w:r>
      <w:r>
        <w:rPr>
          <w:rFonts w:hint="default" w:ascii="仿宋_GB2312" w:hAnsi="仿宋_GB2312" w:eastAsia="仿宋_GB2312" w:cs="Times New Roman"/>
          <w:i w:val="0"/>
          <w:caps w:val="0"/>
          <w:spacing w:val="0"/>
          <w:sz w:val="32"/>
          <w:szCs w:val="32"/>
          <w:shd w:val="clear" w:color="auto" w:fill="auto"/>
          <w:lang w:eastAsia="zh-CN"/>
        </w:rPr>
        <w:t>运输管理方面，由主体方统筹实施统一调度与全过程管控，运输记录应实现全程可追溯。</w:t>
      </w:r>
      <w:r>
        <w:rPr>
          <w:rFonts w:hint="default" w:ascii="楷体" w:hAnsi="楷体" w:eastAsia="楷体" w:cs="楷体"/>
          <w:i w:val="0"/>
          <w:caps w:val="0"/>
          <w:spacing w:val="0"/>
          <w:sz w:val="32"/>
          <w:szCs w:val="32"/>
          <w:shd w:val="clear" w:color="auto" w:fill="auto"/>
          <w:lang w:eastAsia="zh-CN"/>
        </w:rPr>
        <w:t>四是</w:t>
      </w:r>
      <w:r>
        <w:rPr>
          <w:rFonts w:hint="default" w:ascii="仿宋_GB2312" w:hAnsi="仿宋_GB2312" w:eastAsia="仿宋_GB2312" w:cs="Times New Roman"/>
          <w:i w:val="0"/>
          <w:caps w:val="0"/>
          <w:spacing w:val="0"/>
          <w:sz w:val="32"/>
          <w:szCs w:val="32"/>
          <w:shd w:val="clear" w:color="auto" w:fill="auto"/>
          <w:lang w:eastAsia="zh-CN"/>
        </w:rPr>
        <w:t>委托配送方面，主体方接受其他医疗器械经营企业委托储存、配送的，</w:t>
      </w:r>
      <w:r>
        <w:rPr>
          <w:rFonts w:hint="eastAsia" w:ascii="仿宋_GB2312" w:hAnsi="仿宋_GB2312" w:eastAsia="仿宋_GB2312" w:cs="Times New Roman"/>
          <w:i w:val="0"/>
          <w:caps w:val="0"/>
          <w:spacing w:val="0"/>
          <w:sz w:val="32"/>
          <w:szCs w:val="32"/>
          <w:shd w:val="clear" w:color="auto" w:fill="auto"/>
          <w:lang w:eastAsia="zh-CN"/>
        </w:rPr>
        <w:t>经委托方同意</w:t>
      </w:r>
      <w:r>
        <w:rPr>
          <w:rFonts w:hint="default" w:ascii="仿宋_GB2312" w:hAnsi="仿宋_GB2312" w:eastAsia="仿宋_GB2312" w:cs="Times New Roman"/>
          <w:i w:val="0"/>
          <w:caps w:val="0"/>
          <w:spacing w:val="0"/>
          <w:sz w:val="32"/>
          <w:szCs w:val="32"/>
          <w:shd w:val="clear" w:color="auto" w:fill="auto"/>
          <w:lang w:eastAsia="zh-CN"/>
        </w:rPr>
        <w:t>可以使用其协同仓，由主体方统一对承运方进行质量能力审核。</w:t>
      </w:r>
    </w:p>
    <w:p w14:paraId="3FF4423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楷体" w:hAnsi="楷体" w:eastAsia="楷体" w:cs="楷体"/>
          <w:i w:val="0"/>
          <w:caps w:val="0"/>
          <w:spacing w:val="0"/>
          <w:sz w:val="32"/>
          <w:szCs w:val="32"/>
          <w:shd w:val="clear" w:color="auto" w:fill="auto"/>
          <w:lang w:eastAsia="zh-CN"/>
        </w:rPr>
      </w:pPr>
      <w:r>
        <w:rPr>
          <w:rFonts w:hint="default" w:ascii="楷体" w:hAnsi="楷体" w:eastAsia="楷体" w:cs="楷体"/>
          <w:i w:val="0"/>
          <w:caps w:val="0"/>
          <w:spacing w:val="0"/>
          <w:sz w:val="32"/>
          <w:szCs w:val="32"/>
          <w:shd w:val="clear" w:color="auto" w:fill="auto"/>
          <w:lang w:eastAsia="zh-CN"/>
        </w:rPr>
        <w:t>（四）优化审批办理流程</w:t>
      </w:r>
    </w:p>
    <w:p w14:paraId="1E7C0B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多仓协同审批按《北京市医疗器械经营监督管理办法实施细则》变更仓库地址办理。本市医疗器械批发企业跨行政区域设置协同库房的，参照《国家药品监督管理局关于医疗器械经营企业跨行政区域设置库房办理事项的通告》（2018年第108号）规定的程序办理。北京市药品监督管理局药械流通监督管理处可根据工作需要，组织北京市药品审评检查中心提供技术审评支撑。同时，分别明确了本市跨区多仓协同、外埠跨区域设仓的具体办理流程及许可证标注手续。</w:t>
      </w:r>
    </w:p>
    <w:p w14:paraId="6F91833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楷体" w:hAnsi="楷体" w:eastAsia="楷体" w:cs="楷体"/>
          <w:i w:val="0"/>
          <w:caps w:val="0"/>
          <w:spacing w:val="0"/>
          <w:sz w:val="32"/>
          <w:szCs w:val="32"/>
          <w:shd w:val="clear" w:color="auto" w:fill="auto"/>
          <w:lang w:eastAsia="zh-CN"/>
        </w:rPr>
      </w:pPr>
      <w:r>
        <w:rPr>
          <w:rFonts w:hint="default" w:ascii="楷体" w:hAnsi="楷体" w:eastAsia="楷体" w:cs="楷体"/>
          <w:i w:val="0"/>
          <w:caps w:val="0"/>
          <w:spacing w:val="0"/>
          <w:sz w:val="32"/>
          <w:szCs w:val="32"/>
          <w:shd w:val="clear" w:color="auto" w:fill="auto"/>
          <w:lang w:eastAsia="zh-CN"/>
        </w:rPr>
        <w:t>（五）明确企业主体责任</w:t>
      </w:r>
    </w:p>
    <w:p w14:paraId="602212A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分层划定主体方与协同方责任。主体方承担多仓协同全过程质量管理及风险防控责任，包括建立统一质量管理体系、对协同方开展准入审核、每年至少开展一次质量审计、将多仓协同实施情况纳入年度自查报告等。协同方对自身承担的储运环节质量安全承担直接责任，不得将多仓协同涉及的储存业务转委托给第三方，配合主体方的质量审计评估并配合完成整改，建立协同过程风险排查机制。</w:t>
      </w:r>
    </w:p>
    <w:p w14:paraId="15C10FD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楷体" w:hAnsi="楷体" w:eastAsia="楷体" w:cs="楷体"/>
          <w:i w:val="0"/>
          <w:caps w:val="0"/>
          <w:spacing w:val="0"/>
          <w:sz w:val="32"/>
          <w:szCs w:val="32"/>
          <w:shd w:val="clear" w:color="auto" w:fill="auto"/>
          <w:lang w:eastAsia="zh-CN"/>
        </w:rPr>
      </w:pPr>
      <w:r>
        <w:rPr>
          <w:rFonts w:hint="default" w:ascii="楷体" w:hAnsi="楷体" w:eastAsia="楷体" w:cs="楷体"/>
          <w:i w:val="0"/>
          <w:caps w:val="0"/>
          <w:spacing w:val="0"/>
          <w:sz w:val="32"/>
          <w:szCs w:val="32"/>
          <w:shd w:val="clear" w:color="auto" w:fill="auto"/>
          <w:lang w:eastAsia="zh-CN"/>
        </w:rPr>
        <w:t>（六）强化监督管理</w:t>
      </w:r>
    </w:p>
    <w:p w14:paraId="004DE88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i w:val="0"/>
          <w:caps w:val="0"/>
          <w:spacing w:val="0"/>
          <w:sz w:val="32"/>
          <w:szCs w:val="32"/>
          <w:shd w:val="clear" w:color="auto" w:fill="auto"/>
          <w:lang w:eastAsia="zh-CN"/>
        </w:rPr>
      </w:pPr>
      <w:r>
        <w:rPr>
          <w:rFonts w:hint="default" w:ascii="仿宋_GB2312" w:hAnsi="仿宋_GB2312" w:eastAsia="仿宋_GB2312" w:cs="Times New Roman"/>
          <w:i w:val="0"/>
          <w:caps w:val="0"/>
          <w:spacing w:val="0"/>
          <w:sz w:val="32"/>
          <w:szCs w:val="32"/>
          <w:shd w:val="clear" w:color="auto" w:fill="auto"/>
          <w:lang w:eastAsia="zh-CN"/>
        </w:rPr>
        <w:t>坚持“四个最严”根本要求，将多仓协同经营企业纳入重点监管范围。跨行政区域开展多仓协同业务的监督管理与执法按照属地管理原则，由主体方、协同方所在地设区的市级、县级市场监督管理部门负责，应加强监管信息共享，必要时可开展联合检查。明确</w:t>
      </w:r>
      <w:r>
        <w:rPr>
          <w:rFonts w:hint="eastAsia" w:ascii="仿宋_GB2312" w:hAnsi="仿宋_GB2312" w:eastAsia="仿宋_GB2312" w:cs="Times New Roman"/>
          <w:i w:val="0"/>
          <w:caps w:val="0"/>
          <w:spacing w:val="0"/>
          <w:sz w:val="32"/>
          <w:szCs w:val="32"/>
          <w:shd w:val="clear" w:color="auto" w:fill="auto"/>
          <w:lang w:eastAsia="zh-CN"/>
        </w:rPr>
        <w:t>市药监局</w:t>
      </w:r>
      <w:r>
        <w:rPr>
          <w:rFonts w:hint="default" w:ascii="仿宋_GB2312" w:hAnsi="仿宋_GB2312" w:eastAsia="仿宋_GB2312" w:cs="Times New Roman"/>
          <w:i w:val="0"/>
          <w:caps w:val="0"/>
          <w:spacing w:val="0"/>
          <w:sz w:val="32"/>
          <w:szCs w:val="32"/>
          <w:shd w:val="clear" w:color="auto" w:fill="auto"/>
          <w:lang w:eastAsia="zh-CN"/>
        </w:rPr>
        <w:t>、各区市场监督管理部门、市药品审评检查中心三级监管职责分工。</w:t>
      </w:r>
    </w:p>
    <w:p w14:paraId="0BC4F9B8">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方正黑体_GBK" w:hAnsi="方正黑体_GBK" w:eastAsia="方正黑体_GBK" w:cs="方正黑体_GBK"/>
          <w:sz w:val="32"/>
          <w:szCs w:val="32"/>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D43CF">
    <w:pPr>
      <w:pStyle w:val="9"/>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5AC58A1">
                <w:pPr>
                  <w:pStyle w:val="9"/>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E7EFAC53"/>
    <w:rsid w:val="2442230D"/>
    <w:rsid w:val="27DD2D1E"/>
    <w:rsid w:val="2F9FA420"/>
    <w:rsid w:val="2FE7986B"/>
    <w:rsid w:val="3DB75993"/>
    <w:rsid w:val="3F1D9C02"/>
    <w:rsid w:val="532A5ED2"/>
    <w:rsid w:val="768E674C"/>
    <w:rsid w:val="7CBF7E01"/>
    <w:rsid w:val="7DD4ED6F"/>
    <w:rsid w:val="7EFFE77E"/>
    <w:rsid w:val="8B7F4D4C"/>
    <w:rsid w:val="AEFADC64"/>
    <w:rsid w:val="B71FE89E"/>
    <w:rsid w:val="BD3EC5BE"/>
    <w:rsid w:val="BEFEF60F"/>
    <w:rsid w:val="BFFF05A6"/>
    <w:rsid w:val="CCF662B4"/>
    <w:rsid w:val="CFE3F8DC"/>
    <w:rsid w:val="DB72643A"/>
    <w:rsid w:val="E7EFAC53"/>
    <w:rsid w:val="E9DDBAA6"/>
    <w:rsid w:val="FBDB22F2"/>
    <w:rsid w:val="FC7FF2BF"/>
    <w:rsid w:val="FEBFD103"/>
    <w:rsid w:val="FF3F4F84"/>
    <w:rsid w:val="FF7B4A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方正黑体_GBK"/>
      <w:color w:val="auto"/>
      <w:kern w:val="2"/>
      <w:sz w:val="32"/>
      <w:szCs w:val="32"/>
      <w:lang w:val="en-US" w:eastAsia="zh-CN" w:bidi="ar-SA"/>
    </w:rPr>
  </w:style>
  <w:style w:type="paragraph" w:styleId="5">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6">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7">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Style w:val="12"/>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4"/>
    <w:semiHidden/>
    <w:qFormat/>
    <w:uiPriority w:val="0"/>
    <w:rPr>
      <w:rFonts w:ascii="Arial" w:hAnsi="Arial" w:eastAsia="Arial" w:cs="Arial"/>
      <w:sz w:val="21"/>
      <w:szCs w:val="21"/>
      <w:lang w:val="en-US" w:eastAsia="en-US" w:bidi="ar-SA"/>
    </w:rPr>
  </w:style>
  <w:style w:type="paragraph" w:customStyle="1" w:styleId="4">
    <w:name w:val="目录 11"/>
    <w:next w:val="1"/>
    <w:qFormat/>
    <w:uiPriority w:val="0"/>
    <w:pPr>
      <w:wordWrap w:val="0"/>
      <w:jc w:val="both"/>
    </w:pPr>
    <w:rPr>
      <w:rFonts w:ascii="Calibri" w:hAnsi="Calibri" w:eastAsia="宋体" w:cs="Times New Roman"/>
      <w:sz w:val="21"/>
      <w:szCs w:val="22"/>
      <w:lang w:val="en-US" w:eastAsia="zh-CN" w:bidi="ar-SA"/>
    </w:rPr>
  </w:style>
  <w:style w:type="paragraph" w:styleId="8">
    <w:name w:val="Normal Indent"/>
    <w:basedOn w:val="1"/>
    <w:qFormat/>
    <w:uiPriority w:val="0"/>
    <w:pPr>
      <w:ind w:firstLine="420" w:firstLineChars="200"/>
    </w:p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uiPriority w:val="0"/>
    <w:rPr>
      <w:sz w:val="24"/>
    </w:r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2336</Words>
  <Characters>2362</Characters>
  <Lines>0</Lines>
  <Paragraphs>0</Paragraphs>
  <TotalTime>0.333333333333333</TotalTime>
  <ScaleCrop>false</ScaleCrop>
  <LinksUpToDate>false</LinksUpToDate>
  <CharactersWithSpaces>2362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2026-08-14T11:25:00Z</dcterms:created>
  <dc:creator>yuanxiaolong</dc:creator>
  <cp:lastModifiedBy>zyy</cp:lastModifiedBy>
  <dcterms:modified xsi:type="dcterms:W3CDTF">2026-08-28T03:18:16Z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KSOTemplateDocerSaveRecord">
    <vt:lpwstr>eyJoZGlkIjoiNDIxNTE3NGIxNDA4MGU5MGY3ZjllNjJmNDNiZmY5ZDciLCJ1c2VySWQiOiIyNTcyNjc3ODkifQ==</vt:lpwstr>
  </property>
  <property fmtid="{D5CDD505-2E9C-101B-9397-08002B2CF9AE}" pid="4" name="ICV">
    <vt:lpwstr>B7A99E6F89D84ED28B4AE82D8F37AFA6_13</vt:lpwstr>
  </property>
</Properties>
</file>