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3393C">
      <w:pPr>
        <w:pStyle w:val="2"/>
        <w:spacing w:line="600" w:lineRule="exact"/>
        <w:rPr>
          <w:rFonts w:ascii="黑体" w:hAnsi="黑体" w:eastAsia="黑体"/>
          <w:sz w:val="32"/>
          <w:szCs w:val="32"/>
        </w:rPr>
      </w:pPr>
      <w:bookmarkStart w:id="0" w:name="_GoBack"/>
      <w:bookmarkEnd w:id="0"/>
      <w:r>
        <w:rPr>
          <w:rFonts w:hint="eastAsia" w:ascii="黑体" w:hAnsi="黑体" w:eastAsia="黑体"/>
          <w:sz w:val="32"/>
          <w:szCs w:val="32"/>
        </w:rPr>
        <w:t>附件</w:t>
      </w:r>
    </w:p>
    <w:p w14:paraId="5C141345">
      <w:pPr>
        <w:pStyle w:val="2"/>
        <w:spacing w:line="600" w:lineRule="exact"/>
        <w:rPr>
          <w:rFonts w:hint="eastAsia" w:ascii="Times New Roman" w:hAnsi="Times New Roman"/>
        </w:rPr>
      </w:pPr>
    </w:p>
    <w:p w14:paraId="3BDC1085">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气管插管产品注册审查指导原则</w:t>
      </w:r>
    </w:p>
    <w:p w14:paraId="0B149916">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w:t>
      </w:r>
      <w:r>
        <w:rPr>
          <w:rFonts w:hint="eastAsia" w:ascii="方正小标宋简体" w:hAnsi="Times New Roman" w:eastAsia="方正小标宋简体"/>
          <w:sz w:val="44"/>
          <w:szCs w:val="44"/>
        </w:rPr>
        <w:t>2026年</w:t>
      </w:r>
      <w:r>
        <w:rPr>
          <w:rFonts w:ascii="Times New Roman" w:hAnsi="Times New Roman" w:eastAsia="方正小标宋简体"/>
          <w:sz w:val="44"/>
          <w:szCs w:val="44"/>
        </w:rPr>
        <w:t>修订版）</w:t>
      </w:r>
    </w:p>
    <w:p w14:paraId="105EAF2D">
      <w:pPr>
        <w:spacing w:line="600" w:lineRule="exact"/>
        <w:ind w:firstLine="640" w:firstLineChars="200"/>
        <w:jc w:val="left"/>
        <w:rPr>
          <w:rFonts w:ascii="Times New Roman" w:hAnsi="Times New Roman" w:eastAsia="仿宋_GB2312"/>
          <w:sz w:val="32"/>
          <w:szCs w:val="32"/>
        </w:rPr>
      </w:pPr>
    </w:p>
    <w:p w14:paraId="2010F244">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本指导原则旨在指导注册申请人对气管插管产品注册申报资料的准备及撰写，同时也为技术审评部门提供参考。</w:t>
      </w:r>
    </w:p>
    <w:p w14:paraId="1C83D781">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本指导原则是对气管插管产品的一般要求，申请人应依据产品的具体特性确定其中内容是否适用。若不适用，需具体阐述理由及相应的科学依据，并依据产品的具体特性对注册申报资料的内容进行充实和细化。</w:t>
      </w:r>
    </w:p>
    <w:p w14:paraId="1566AB11">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B574A44">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本指导原则是在现行法规和标准体系以及当前认知水平下制定，随着法规和标准的不断完善，以及科学技术的不断发展，相关内容也将适时进行调整。</w:t>
      </w:r>
    </w:p>
    <w:p w14:paraId="27697D87">
      <w:pPr>
        <w:spacing w:line="52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一、适用范围</w:t>
      </w:r>
    </w:p>
    <w:p w14:paraId="7646A5AE">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本指导原则适用于《医疗器械分类目录》中管理类别为</w:t>
      </w:r>
      <w:r>
        <w:rPr>
          <w:rFonts w:hint="eastAsia" w:ascii="Times New Roman" w:hAnsi="Times New Roman" w:eastAsia="仿宋_GB2312"/>
          <w:sz w:val="32"/>
          <w:szCs w:val="32"/>
        </w:rPr>
        <w:t>二</w:t>
      </w:r>
      <w:r>
        <w:rPr>
          <w:rFonts w:ascii="Times New Roman" w:hAnsi="Times New Roman" w:eastAsia="仿宋_GB2312"/>
          <w:sz w:val="32"/>
          <w:szCs w:val="32"/>
        </w:rPr>
        <w:t>类，分类编码为08-06-03的无源气管插管产品，不适用于气管切开插管和含可视化组件的有源气管插管，气管切开插管和可视气管插管可参考本指导原则的适用内容。</w:t>
      </w:r>
    </w:p>
    <w:p w14:paraId="2767F7CF">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黑体"/>
          <w:sz w:val="32"/>
          <w:szCs w:val="32"/>
        </w:rPr>
        <w:t>二、注册审查要点</w:t>
      </w:r>
    </w:p>
    <w:p w14:paraId="67412D53">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（一）监管信息</w:t>
      </w:r>
    </w:p>
    <w:p w14:paraId="70E939F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注册申请人应提供申请表、产品列表、主文档授权信（如适用）、既往沟通记录（如不适用，应当明确声明申报产品没有既往申报和/或申报前沟通）及其他管理信息等。</w:t>
      </w:r>
    </w:p>
    <w:p w14:paraId="4924F63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339934F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描述产品名称的确定依据。产品名称应符合《医疗器械通用名称命名规则》《呼吸、麻醉和急救器械通用名称命名指导原则》或行业标准上的通用名称等相关文件的要求，由一个核心词和三个以内特征词组成，以体现产品的特性、使用特点和预期用途。</w:t>
      </w:r>
    </w:p>
    <w:p w14:paraId="250CA9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命名举例：一次性使用气管插管、一次性使用加强型气管插管等。</w:t>
      </w:r>
    </w:p>
    <w:p w14:paraId="56C65A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2.分类编码</w:t>
      </w:r>
    </w:p>
    <w:p w14:paraId="6A005D7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根据《医疗器械分类目录》是按照第Ⅱ类医疗器械管理的气管内插管/气管套管</w:t>
      </w:r>
      <w:r>
        <w:rPr>
          <w:rFonts w:ascii="Times New Roman" w:hAnsi="Times New Roman" w:eastAsia="仿宋_GB2312"/>
          <w:bCs/>
          <w:sz w:val="32"/>
          <w:szCs w:val="32"/>
        </w:rPr>
        <w:t>，分类编码</w:t>
      </w:r>
      <w:r>
        <w:rPr>
          <w:rFonts w:ascii="Times New Roman" w:hAnsi="Times New Roman" w:eastAsia="仿宋_GB2312"/>
          <w:sz w:val="32"/>
          <w:szCs w:val="32"/>
        </w:rPr>
        <w:t>为08-06-03。</w:t>
      </w:r>
    </w:p>
    <w:p w14:paraId="24A8C56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注册单元划分的原则和实例</w:t>
      </w:r>
    </w:p>
    <w:p w14:paraId="51579BCF">
      <w:pPr>
        <w:spacing w:line="520" w:lineRule="exact"/>
        <w:ind w:firstLine="640" w:firstLineChars="200"/>
        <w:rPr>
          <w:rFonts w:ascii="Times New Roman" w:hAnsi="Times New Roman"/>
        </w:rPr>
      </w:pPr>
      <w:r>
        <w:rPr>
          <w:rFonts w:ascii="Times New Roman" w:hAnsi="Times New Roman" w:eastAsia="仿宋_GB2312"/>
          <w:sz w:val="32"/>
          <w:szCs w:val="32"/>
        </w:rPr>
        <w:t>注册单元划分应符合《医疗器械注册单元划分指导原则》的要求，原则上以产品的技术原理、结构组成、性能指标和适用范围为划分依据。如：管体</w:t>
      </w:r>
      <w:r>
        <w:rPr>
          <w:rFonts w:ascii="Times New Roman" w:hAnsi="Times New Roman" w:eastAsia="仿宋_GB2312"/>
          <w:sz w:val="32"/>
          <w:szCs w:val="28"/>
        </w:rPr>
        <w:t>主要原材料不同</w:t>
      </w:r>
      <w:r>
        <w:rPr>
          <w:rFonts w:hint="eastAsia" w:ascii="Times New Roman" w:hAnsi="Times New Roman" w:eastAsia="仿宋_GB2312"/>
          <w:sz w:val="32"/>
          <w:szCs w:val="28"/>
        </w:rPr>
        <w:t>导致性能指标有差异</w:t>
      </w:r>
      <w:r>
        <w:rPr>
          <w:rFonts w:ascii="Times New Roman" w:hAnsi="Times New Roman" w:eastAsia="仿宋_GB2312"/>
          <w:sz w:val="32"/>
          <w:szCs w:val="28"/>
        </w:rPr>
        <w:t>的应划分为不同注册单元。</w:t>
      </w:r>
    </w:p>
    <w:p w14:paraId="0D248248">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（二）综述资料</w:t>
      </w:r>
    </w:p>
    <w:p w14:paraId="503861A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1.产品的工作原理</w:t>
      </w:r>
    </w:p>
    <w:p w14:paraId="6C5D05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气管插管产品用于经鼻腔和/或口腔将气管插管插入至患者气管规定深度，为不能自主呼吸患者创建一个临时性的人工呼吸通道。</w:t>
      </w:r>
    </w:p>
    <w:p w14:paraId="67E1F9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2.结构及组成</w:t>
      </w:r>
    </w:p>
    <w:p w14:paraId="32D5DDCB">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产品常用材料有硅橡胶、聚氯乙烯（PVC）等，可分为无套囊型和有套囊型。无套囊型产品一般由管体和接头组成。有套囊型产品一般由管体、接头、套囊、充气管、指示</w:t>
      </w:r>
      <w:r>
        <w:rPr>
          <w:rFonts w:hint="eastAsia" w:ascii="Times New Roman" w:hAnsi="Times New Roman" w:eastAsia="仿宋_GB2312"/>
          <w:spacing w:val="-1"/>
          <w:sz w:val="32"/>
          <w:szCs w:val="32"/>
        </w:rPr>
        <w:t>球</w:t>
      </w:r>
      <w:r>
        <w:rPr>
          <w:rFonts w:ascii="Times New Roman" w:hAnsi="Times New Roman" w:eastAsia="仿宋_GB2312"/>
          <w:spacing w:val="-1"/>
          <w:sz w:val="32"/>
          <w:szCs w:val="32"/>
        </w:rPr>
        <w:t>囊和单向阀组成。</w:t>
      </w:r>
      <w:r>
        <w:rPr>
          <w:rFonts w:hint="eastAsia" w:ascii="Times New Roman" w:hAnsi="Times New Roman" w:eastAsia="仿宋_GB2312"/>
          <w:spacing w:val="-1"/>
          <w:sz w:val="32"/>
          <w:szCs w:val="32"/>
        </w:rPr>
        <w:t>加强型气管插管还应有具有支撑作用的组件。</w:t>
      </w:r>
      <w:r>
        <w:rPr>
          <w:rFonts w:ascii="Times New Roman" w:hAnsi="Times New Roman" w:eastAsia="仿宋_GB2312"/>
          <w:spacing w:val="-1"/>
          <w:sz w:val="32"/>
          <w:szCs w:val="32"/>
        </w:rPr>
        <w:t>产品常见外形结构见图1（有囊常用型气管插管）、图2（无囊常用型气管插管）</w:t>
      </w:r>
      <w:r>
        <w:rPr>
          <w:rFonts w:hint="eastAsia" w:ascii="Times New Roman" w:hAnsi="Times New Roman" w:eastAsia="仿宋_GB2312"/>
          <w:spacing w:val="-1"/>
          <w:sz w:val="32"/>
          <w:szCs w:val="32"/>
        </w:rPr>
        <w:t>。</w:t>
      </w:r>
    </w:p>
    <w:p w14:paraId="41D40E77">
      <w:pPr>
        <w:spacing w:line="560" w:lineRule="exact"/>
        <w:jc w:val="center"/>
        <w:rPr>
          <w:rFonts w:ascii="Times New Roman" w:hAnsi="Times New Roman" w:eastAsia="黑体"/>
          <w:spacing w:val="-1"/>
          <w:sz w:val="28"/>
          <w:szCs w:val="28"/>
        </w:rPr>
      </w:pPr>
      <w:r>
        <w:rPr>
          <w:rFonts w:ascii="Times New Roman" w:hAnsi="Times New Roman"/>
          <w:sz w:val="24"/>
        </w:rPr>
        <w:pict>
          <v:shape id="_x0000_s1033" o:spid="_x0000_s1033" o:spt="75" alt="IMG_256" type="#_x0000_t75" style="position:absolute;left:0pt;margin-left:94.55pt;margin-top:216.85pt;height:215.7pt;width:261.05pt;mso-wrap-distance-bottom:0pt;mso-wrap-distance-top:0pt;z-index:251660288;mso-width-relative:page;mso-height-relative:page;" filled="f" o:preferrelative="t" stroked="f" coordsize="21600,21600">
            <v:path/>
            <v:fill on="f" focussize="0,0"/>
            <v:stroke on="f"/>
            <v:imagedata r:id="rId6" cropleft="8245f" cropright="8668f" o:title="IMG_256"/>
            <o:lock v:ext="edit" aspectratio="t"/>
            <w10:wrap type="topAndBottom"/>
          </v:shape>
        </w:pict>
      </w:r>
      <w:r>
        <w:rPr>
          <w:rFonts w:ascii="Times New Roman" w:hAnsi="Times New Roman"/>
        </w:rPr>
        <w:pict>
          <v:shape id="_x0000_s1032" o:spid="_x0000_s1032" o:spt="75" alt="2007924134637577" type="#_x0000_t75" style="position:absolute;left:0pt;margin-left:112.45pt;margin-top:9.55pt;height:166.05pt;width:221pt;mso-wrap-distance-bottom:0pt;mso-wrap-distance-top:0pt;z-index:251659264;mso-width-relative:page;mso-height-relative:page;" filled="f" o:preferrelative="t" stroked="f" coordsize="21600,21600">
            <v:path/>
            <v:fill on="f" focussize="0,0"/>
            <v:stroke on="f"/>
            <v:imagedata r:id="rId7" o:title="2007924134637577"/>
            <o:lock v:ext="edit" aspectratio="t"/>
            <w10:wrap type="topAndBottom"/>
          </v:shape>
        </w:pict>
      </w:r>
      <w:r>
        <w:rPr>
          <w:rFonts w:ascii="Times New Roman" w:hAnsi="Times New Roman" w:eastAsia="黑体"/>
          <w:spacing w:val="-1"/>
          <w:sz w:val="28"/>
          <w:szCs w:val="28"/>
        </w:rPr>
        <w:t>图1 有囊常用型气管插管</w:t>
      </w:r>
    </w:p>
    <w:p w14:paraId="68A101F2">
      <w:pPr>
        <w:spacing w:line="560" w:lineRule="exact"/>
        <w:jc w:val="center"/>
        <w:rPr>
          <w:rFonts w:ascii="Times New Roman" w:hAnsi="Times New Roman" w:eastAsia="黑体"/>
          <w:spacing w:val="-1"/>
          <w:sz w:val="28"/>
          <w:szCs w:val="28"/>
        </w:rPr>
      </w:pPr>
      <w:r>
        <w:rPr>
          <w:rFonts w:ascii="Times New Roman" w:hAnsi="Times New Roman" w:eastAsia="黑体"/>
          <w:spacing w:val="-1"/>
          <w:sz w:val="28"/>
          <w:szCs w:val="28"/>
        </w:rPr>
        <w:t>图2 无囊常用型气管插管</w:t>
      </w:r>
    </w:p>
    <w:p w14:paraId="52897265">
      <w:pPr>
        <w:spacing w:line="560" w:lineRule="exact"/>
        <w:ind w:firstLine="640" w:firstLineChars="200"/>
        <w:rPr>
          <w:rFonts w:ascii="Times New Roman" w:hAnsi="Times New Roman" w:eastAsia="仿宋_GB2312"/>
          <w:sz w:val="32"/>
          <w:szCs w:val="32"/>
        </w:rPr>
      </w:pPr>
    </w:p>
    <w:p w14:paraId="0C8B3F0C">
      <w:pPr>
        <w:spacing w:line="520" w:lineRule="exact"/>
        <w:ind w:firstLine="640" w:firstLineChars="200"/>
        <w:rPr>
          <w:rFonts w:ascii="Times New Roman" w:hAnsi="Times New Roman"/>
        </w:rPr>
      </w:pPr>
      <w:r>
        <w:rPr>
          <w:rFonts w:ascii="Times New Roman" w:hAnsi="Times New Roman" w:eastAsia="仿宋_GB2312"/>
          <w:sz w:val="32"/>
          <w:szCs w:val="32"/>
        </w:rPr>
        <w:t>3.型号规格</w:t>
      </w:r>
    </w:p>
    <w:p w14:paraId="4EA13F0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应明确产品型号、规格。对于存在多种型号规格的，应当明确各型号规格的区别。可采用对比表或带有说明性文字的图片、图表，描述各种型号规格的结构组成（或配置）、功能、产品特征等内容。</w:t>
      </w:r>
    </w:p>
    <w:p w14:paraId="364754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4.包装说明</w:t>
      </w:r>
    </w:p>
    <w:p w14:paraId="211622E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提供</w:t>
      </w:r>
      <w:r>
        <w:rPr>
          <w:rFonts w:ascii="Times New Roman" w:hAnsi="Times New Roman" w:eastAsia="仿宋_GB2312"/>
          <w:sz w:val="32"/>
          <w:szCs w:val="32"/>
        </w:rPr>
        <w:t>产品的包装</w:t>
      </w:r>
      <w:r>
        <w:rPr>
          <w:rFonts w:hint="eastAsia" w:ascii="Times New Roman" w:hAnsi="Times New Roman" w:eastAsia="仿宋_GB2312"/>
          <w:sz w:val="32"/>
          <w:szCs w:val="32"/>
        </w:rPr>
        <w:t>信息</w:t>
      </w:r>
      <w:r>
        <w:rPr>
          <w:rFonts w:ascii="Times New Roman" w:hAnsi="Times New Roman" w:eastAsia="仿宋_GB2312"/>
          <w:sz w:val="32"/>
          <w:szCs w:val="32"/>
        </w:rPr>
        <w:t>，</w:t>
      </w:r>
      <w:r>
        <w:rPr>
          <w:rFonts w:hint="eastAsia" w:ascii="Times New Roman" w:hAnsi="Times New Roman" w:eastAsia="仿宋_GB2312"/>
          <w:sz w:val="32"/>
          <w:szCs w:val="32"/>
        </w:rPr>
        <w:t>说明</w:t>
      </w:r>
      <w:r>
        <w:rPr>
          <w:rFonts w:ascii="Times New Roman" w:hAnsi="Times New Roman" w:eastAsia="仿宋_GB2312"/>
          <w:sz w:val="32"/>
          <w:szCs w:val="32"/>
        </w:rPr>
        <w:t>产品各层次包装（初包装、中包装、大包装）的信息，包括包装所用材料及包装所载明的信息或提供样图；产品的</w:t>
      </w:r>
      <w:r>
        <w:rPr>
          <w:rFonts w:hint="eastAsia" w:ascii="Times New Roman" w:hAnsi="Times New Roman" w:eastAsia="仿宋_GB2312"/>
          <w:sz w:val="32"/>
          <w:szCs w:val="32"/>
        </w:rPr>
        <w:t>无菌屏障系统</w:t>
      </w:r>
      <w:r>
        <w:rPr>
          <w:rFonts w:ascii="Times New Roman" w:hAnsi="Times New Roman" w:eastAsia="仿宋_GB2312"/>
          <w:sz w:val="32"/>
          <w:szCs w:val="32"/>
        </w:rPr>
        <w:t>应与灭菌方法相适应。</w:t>
      </w:r>
    </w:p>
    <w:p w14:paraId="1D36F8E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5.研发历程</w:t>
      </w:r>
    </w:p>
    <w:p w14:paraId="439B63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阐述申请注册产品的研发背景和目的。如有参考的同类产品或前代产品，应当提供同类产品或前代产品的信息，并说明选择其作为研发参考的原因。</w:t>
      </w:r>
    </w:p>
    <w:p w14:paraId="0B0B3BC6">
      <w:pPr>
        <w:pStyle w:val="2"/>
        <w:spacing w:line="520" w:lineRule="atLeast"/>
        <w:ind w:firstLine="640" w:firstLineChars="200"/>
      </w:pPr>
      <w:r>
        <w:rPr>
          <w:rFonts w:hint="eastAsia" w:ascii="Times New Roman" w:hAnsi="Times New Roman" w:eastAsia="仿宋_GB2312"/>
          <w:kern w:val="2"/>
          <w:sz w:val="32"/>
          <w:szCs w:val="32"/>
        </w:rPr>
        <w:t>申请人需明确产品设计开发立题依据，</w:t>
      </w:r>
      <w:r>
        <w:rPr>
          <w:rFonts w:ascii="Times New Roman" w:hAnsi="Times New Roman" w:eastAsia="仿宋_GB2312"/>
          <w:kern w:val="2"/>
          <w:sz w:val="32"/>
          <w:szCs w:val="32"/>
        </w:rPr>
        <w:t>根据产品实际情况</w:t>
      </w:r>
      <w:r>
        <w:rPr>
          <w:rFonts w:hint="eastAsia" w:ascii="Times New Roman" w:hAnsi="Times New Roman" w:eastAsia="仿宋_GB2312"/>
          <w:kern w:val="2"/>
          <w:sz w:val="32"/>
          <w:szCs w:val="32"/>
        </w:rPr>
        <w:t>如产品特性等，通过市场调研、临床文献资料等方式，从临床需求、产品技术优势等方面，论述产品临床获益。对于采用特殊结构设计、宣称具有特定功能或采用新材料制造的气管插管，注册申请人应详细说明其工作原理和作用。对于已有前代产品的，可以结合申报产品与前代产品的差异进行阐述。</w:t>
      </w:r>
    </w:p>
    <w:p w14:paraId="56A7BA9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6.与同类和/或前代产品的参考和比较</w:t>
      </w:r>
    </w:p>
    <w:p w14:paraId="401467D3">
      <w:pPr>
        <w:spacing w:line="520" w:lineRule="exact"/>
        <w:ind w:firstLine="640" w:firstLineChars="200"/>
      </w:pPr>
      <w:r>
        <w:rPr>
          <w:rFonts w:ascii="Times New Roman" w:hAnsi="Times New Roman" w:eastAsia="仿宋_GB2312"/>
          <w:sz w:val="32"/>
          <w:szCs w:val="32"/>
        </w:rPr>
        <w:t>列表比较说明申报产品与同类产品和/或前代产品在工作原理、结构组成、制造材料、性能指标、作用方式，以及适用范围等方面的异同。</w:t>
      </w:r>
    </w:p>
    <w:p w14:paraId="46D22F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7.产品的适用范围、禁忌证</w:t>
      </w:r>
    </w:p>
    <w:p w14:paraId="38A3723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7.1产品适用范围</w:t>
      </w:r>
    </w:p>
    <w:p w14:paraId="634E8203">
      <w:pPr>
        <w:spacing w:line="520" w:lineRule="exact"/>
        <w:ind w:firstLine="640" w:firstLineChars="200"/>
        <w:rPr>
          <w:rFonts w:ascii="Times New Roman" w:hAnsi="Times New Roman"/>
        </w:rPr>
      </w:pPr>
      <w:r>
        <w:rPr>
          <w:rFonts w:ascii="Times New Roman" w:hAnsi="Times New Roman" w:eastAsia="仿宋_GB2312"/>
          <w:sz w:val="32"/>
          <w:szCs w:val="32"/>
        </w:rPr>
        <w:t>用于插入患者气管，为患者特别是不能自主呼吸患者创建一个临时性的人工呼吸通道。</w:t>
      </w:r>
    </w:p>
    <w:p w14:paraId="361C799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7.2产品禁忌证</w:t>
      </w:r>
    </w:p>
    <w:p w14:paraId="0C0C54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明确说明该器械不适宜的某些疾病、情况或特定的人群及部位，如适用，应说明对产品材料过敏者禁用。</w:t>
      </w:r>
    </w:p>
    <w:p w14:paraId="3F05C9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eastAsia="仿宋_GB2312"/>
          <w:sz w:val="32"/>
          <w:szCs w:val="32"/>
        </w:rPr>
        <w:t>申报产品上市历史</w:t>
      </w:r>
    </w:p>
    <w:p w14:paraId="3B3A90F8">
      <w:pPr>
        <w:spacing w:line="520" w:lineRule="exact"/>
        <w:ind w:right="-67" w:rightChars="-32" w:firstLine="640" w:firstLineChars="200"/>
        <w:rPr>
          <w:rFonts w:hint="eastAsia" w:ascii="Times New Roman" w:hAnsi="Times New Roman" w:eastAsia="仿宋_GB2312"/>
          <w:sz w:val="32"/>
          <w:szCs w:val="32"/>
        </w:rPr>
      </w:pPr>
      <w:r>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14:paraId="4DBF6ABF">
      <w:pPr>
        <w:spacing w:line="520" w:lineRule="exact"/>
        <w:ind w:right="-67" w:rightChars="-32"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气管插管常见不良事件有：套囊漏气、破裂、管体扭曲、变形、折断等。</w:t>
      </w:r>
    </w:p>
    <w:p w14:paraId="763A300D">
      <w:pPr>
        <w:spacing w:line="520" w:lineRule="exact"/>
        <w:ind w:right="-67" w:rightChars="-32"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注册申请人可收集已上市同类产品的不良事件、召回、警戒等相关信息，并将其作为产品设计开发和风险管理的输入资料，进行风险控制。</w:t>
      </w:r>
    </w:p>
    <w:p w14:paraId="10272E52">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（三）非临床资料</w:t>
      </w:r>
    </w:p>
    <w:p w14:paraId="0EBEB739">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1.产品风险管理资料</w:t>
      </w:r>
    </w:p>
    <w:p w14:paraId="66D4932B">
      <w:pPr>
        <w:spacing w:line="520" w:lineRule="exact"/>
        <w:ind w:right="-67" w:rightChars="-32" w:firstLine="640" w:firstLineChars="200"/>
        <w:rPr>
          <w:rFonts w:hint="eastAsia" w:ascii="Times New Roman" w:hAnsi="Times New Roman" w:eastAsia="仿宋_GB2312"/>
          <w:sz w:val="32"/>
          <w:szCs w:val="32"/>
        </w:rPr>
      </w:pPr>
      <w:r>
        <w:rPr>
          <w:rFonts w:ascii="Times New Roman" w:hAnsi="Times New Roman" w:eastAsia="仿宋_GB2312"/>
          <w:sz w:val="32"/>
          <w:szCs w:val="32"/>
        </w:rPr>
        <w:t>注册申请人需参照GB/T 42062《医疗器械</w:t>
      </w:r>
      <w:r>
        <w:rPr>
          <w:rFonts w:hint="eastAsia" w:ascii="Times New Roman" w:hAnsi="Times New Roman" w:eastAsia="仿宋_GB2312"/>
          <w:sz w:val="32"/>
          <w:szCs w:val="32"/>
        </w:rPr>
        <w:t xml:space="preserve"> </w:t>
      </w:r>
      <w:r>
        <w:rPr>
          <w:rFonts w:ascii="Times New Roman" w:hAnsi="Times New Roman" w:eastAsia="仿宋_GB2312"/>
          <w:sz w:val="32"/>
          <w:szCs w:val="32"/>
        </w:rPr>
        <w:t>风险管理对医疗器械的应用》对产品全生命周期实施风险管理，提交风险管理资料。风险管理报告需包括风险分析、风险评价、风险控制等产品风险管理的相关资料，至少包括产品安全特征清单、产品可预见的危险及危险分析清单（说明危险、可预见事件序列即危险成因分析）、危险处境和可能发生的损害之间的关系、风险评价、风险控制措施以及剩余风险评价汇总表。</w:t>
      </w:r>
    </w:p>
    <w:p w14:paraId="201231BF">
      <w:pPr>
        <w:pStyle w:val="2"/>
        <w:spacing w:line="520" w:lineRule="exact"/>
        <w:ind w:firstLine="636" w:firstLineChars="200"/>
        <w:rPr>
          <w:rFonts w:ascii="Times New Roman" w:hAnsi="Times New Roman" w:eastAsia="仿宋_GB2312"/>
        </w:rPr>
      </w:pPr>
      <w:r>
        <w:rPr>
          <w:rFonts w:ascii="Times New Roman" w:hAnsi="Times New Roman" w:eastAsia="仿宋_GB2312"/>
          <w:spacing w:val="-1"/>
          <w:sz w:val="32"/>
          <w:szCs w:val="32"/>
        </w:rPr>
        <w:t>应关注的气管插管产品的常见危险示例详见附表。</w:t>
      </w:r>
    </w:p>
    <w:p w14:paraId="719724F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2.产品技术要求及检验报告</w:t>
      </w:r>
    </w:p>
    <w:p w14:paraId="4A2FF8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2.1产品的主要性能指标</w:t>
      </w:r>
    </w:p>
    <w:p w14:paraId="67D676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本条款给出气管插管产品需要考虑的基本性能指标，但并未给出定量要求，申请人可参考相应的国家标准、行业标准，根据自身产品的技术特点制定相应的技术指标。</w:t>
      </w:r>
      <w:r>
        <w:rPr>
          <w:rFonts w:hint="eastAsia" w:ascii="Times New Roman" w:hAnsi="Times New Roman" w:eastAsia="仿宋_GB2312"/>
          <w:sz w:val="32"/>
          <w:szCs w:val="32"/>
        </w:rPr>
        <w:t>产品</w:t>
      </w:r>
      <w:r>
        <w:rPr>
          <w:rFonts w:ascii="Times New Roman" w:hAnsi="Times New Roman" w:eastAsia="仿宋_GB2312"/>
          <w:spacing w:val="-1"/>
          <w:sz w:val="32"/>
          <w:szCs w:val="32"/>
        </w:rPr>
        <w:t>可参照</w:t>
      </w:r>
      <w:r>
        <w:rPr>
          <w:rFonts w:ascii="Times New Roman" w:hAnsi="Times New Roman" w:eastAsia="仿宋_GB2312"/>
          <w:sz w:val="32"/>
          <w:szCs w:val="32"/>
        </w:rPr>
        <w:t>YY/T 0337</w:t>
      </w:r>
      <w:r>
        <w:rPr>
          <w:rFonts w:ascii="Times New Roman" w:hAnsi="Times New Roman" w:eastAsia="仿宋_GB2312"/>
          <w:spacing w:val="-1"/>
          <w:sz w:val="32"/>
          <w:szCs w:val="32"/>
        </w:rPr>
        <w:t>标准制定性能指标，性能指标建议含有以下内容（包括但不限于此）</w:t>
      </w:r>
      <w:r>
        <w:rPr>
          <w:rFonts w:ascii="Times New Roman" w:hAnsi="Times New Roman" w:eastAsia="仿宋_GB2312"/>
          <w:sz w:val="32"/>
          <w:szCs w:val="32"/>
        </w:rPr>
        <w:t>：</w:t>
      </w:r>
      <w:r>
        <w:rPr>
          <w:rFonts w:hint="eastAsia" w:ascii="Times New Roman" w:hAnsi="Times New Roman" w:eastAsia="仿宋_GB2312"/>
          <w:sz w:val="32"/>
          <w:szCs w:val="32"/>
        </w:rPr>
        <w:t>标称规格</w:t>
      </w:r>
      <w:r>
        <w:rPr>
          <w:rFonts w:ascii="Times New Roman" w:hAnsi="Times New Roman" w:eastAsia="仿宋_GB2312"/>
          <w:sz w:val="32"/>
          <w:szCs w:val="32"/>
        </w:rPr>
        <w:t>、尺寸、</w:t>
      </w:r>
      <w:r>
        <w:rPr>
          <w:rFonts w:hint="eastAsia" w:ascii="Times New Roman" w:hAnsi="Times New Roman" w:eastAsia="仿宋_GB2312"/>
          <w:sz w:val="32"/>
          <w:szCs w:val="32"/>
        </w:rPr>
        <w:t>插管</w:t>
      </w:r>
      <w:r>
        <w:rPr>
          <w:rFonts w:ascii="Times New Roman" w:hAnsi="Times New Roman" w:eastAsia="仿宋_GB2312"/>
          <w:sz w:val="32"/>
          <w:szCs w:val="32"/>
        </w:rPr>
        <w:t>斜面、</w:t>
      </w:r>
      <w:r>
        <w:rPr>
          <w:rFonts w:hint="eastAsia" w:ascii="Times New Roman" w:hAnsi="Times New Roman" w:eastAsia="仿宋_GB2312"/>
          <w:sz w:val="32"/>
          <w:szCs w:val="32"/>
        </w:rPr>
        <w:t>插管</w:t>
      </w:r>
      <w:r>
        <w:rPr>
          <w:rFonts w:ascii="Times New Roman" w:hAnsi="Times New Roman" w:eastAsia="仿宋_GB2312"/>
          <w:sz w:val="32"/>
          <w:szCs w:val="32"/>
        </w:rPr>
        <w:t>套囊（如适用）、套囊充气</w:t>
      </w:r>
      <w:r>
        <w:rPr>
          <w:rFonts w:hint="eastAsia" w:ascii="Times New Roman" w:hAnsi="Times New Roman" w:eastAsia="仿宋_GB2312"/>
          <w:sz w:val="32"/>
          <w:szCs w:val="32"/>
        </w:rPr>
        <w:t>系统</w:t>
      </w:r>
      <w:r>
        <w:rPr>
          <w:rFonts w:ascii="Times New Roman" w:hAnsi="Times New Roman" w:eastAsia="仿宋_GB2312"/>
          <w:sz w:val="32"/>
          <w:szCs w:val="32"/>
        </w:rPr>
        <w:t>（如适用）、插管弧度、</w:t>
      </w:r>
      <w:r>
        <w:rPr>
          <w:rFonts w:hint="eastAsia" w:ascii="Times New Roman" w:hAnsi="Times New Roman" w:eastAsia="仿宋_GB2312"/>
          <w:sz w:val="32"/>
          <w:szCs w:val="32"/>
        </w:rPr>
        <w:t>表面粗糙度、</w:t>
      </w:r>
      <w:r>
        <w:rPr>
          <w:rFonts w:ascii="Times New Roman" w:hAnsi="Times New Roman" w:eastAsia="仿宋_GB2312"/>
          <w:sz w:val="32"/>
          <w:szCs w:val="32"/>
        </w:rPr>
        <w:t>射线</w:t>
      </w:r>
      <w:r>
        <w:rPr>
          <w:rFonts w:hint="eastAsia" w:ascii="Times New Roman" w:hAnsi="Times New Roman" w:eastAsia="仿宋_GB2312"/>
          <w:sz w:val="32"/>
          <w:szCs w:val="32"/>
        </w:rPr>
        <w:t>不透性标记</w:t>
      </w:r>
      <w:r>
        <w:rPr>
          <w:rFonts w:ascii="Times New Roman" w:hAnsi="Times New Roman" w:eastAsia="仿宋_GB2312"/>
          <w:sz w:val="32"/>
          <w:szCs w:val="32"/>
        </w:rPr>
        <w:t>（如适用）</w:t>
      </w:r>
      <w:r>
        <w:rPr>
          <w:rFonts w:hint="eastAsia" w:ascii="Times New Roman" w:hAnsi="Times New Roman" w:eastAsia="仿宋_GB2312"/>
          <w:sz w:val="32"/>
          <w:szCs w:val="32"/>
        </w:rPr>
        <w:t>、抗扭结、</w:t>
      </w:r>
      <w:r>
        <w:rPr>
          <w:rFonts w:ascii="Times New Roman" w:hAnsi="Times New Roman" w:eastAsia="仿宋_GB2312"/>
          <w:sz w:val="32"/>
          <w:szCs w:val="32"/>
        </w:rPr>
        <w:t>有墨菲孔气管插管的</w:t>
      </w:r>
      <w:r>
        <w:rPr>
          <w:rFonts w:hint="eastAsia" w:ascii="Times New Roman" w:hAnsi="Times New Roman" w:eastAsia="仿宋_GB2312"/>
          <w:sz w:val="32"/>
          <w:szCs w:val="32"/>
        </w:rPr>
        <w:t>附加</w:t>
      </w:r>
      <w:r>
        <w:rPr>
          <w:rFonts w:ascii="Times New Roman" w:hAnsi="Times New Roman" w:eastAsia="仿宋_GB2312"/>
          <w:sz w:val="32"/>
          <w:szCs w:val="32"/>
        </w:rPr>
        <w:t>要求（如适用）、无菌、环氧乙烷残留量（如适用）等。</w:t>
      </w:r>
    </w:p>
    <w:p w14:paraId="3D291E4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如申报产品宣称其他特殊性能或结构，除上述性能外还需根据产品特点制定相应的性能要求，如用于给药、吸痰等功能的产品。 </w:t>
      </w:r>
    </w:p>
    <w:p w14:paraId="5139D9A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2.2检验报告</w:t>
      </w:r>
    </w:p>
    <w:p w14:paraId="61DA42C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申请人可按照《医疗器械</w:t>
      </w:r>
      <w:r>
        <w:rPr>
          <w:rFonts w:hint="eastAsia" w:ascii="Times New Roman" w:hAnsi="Times New Roman" w:eastAsia="仿宋_GB2312"/>
          <w:sz w:val="32"/>
          <w:szCs w:val="32"/>
        </w:rPr>
        <w:t>注册</w:t>
      </w:r>
      <w:r>
        <w:rPr>
          <w:rFonts w:ascii="Times New Roman" w:hAnsi="Times New Roman" w:eastAsia="仿宋_GB2312"/>
          <w:sz w:val="32"/>
          <w:szCs w:val="32"/>
        </w:rPr>
        <w:t>自检管理规定》的要求提交自检报告，也可提交有资质的医疗器械检验机构出具的检验报告。</w:t>
      </w:r>
    </w:p>
    <w:p w14:paraId="522FE67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同一注册单元中所检产品应能够代表本注册单元内其他产品</w:t>
      </w:r>
      <w:r>
        <w:rPr>
          <w:rFonts w:hint="eastAsia" w:ascii="Times New Roman" w:hAnsi="Times New Roman" w:eastAsia="仿宋_GB2312"/>
          <w:sz w:val="32"/>
          <w:szCs w:val="32"/>
        </w:rPr>
        <w:t>的</w:t>
      </w:r>
      <w:r>
        <w:rPr>
          <w:rFonts w:ascii="Times New Roman" w:hAnsi="Times New Roman" w:eastAsia="仿宋_GB2312"/>
          <w:sz w:val="32"/>
          <w:szCs w:val="32"/>
        </w:rPr>
        <w:t>安全性和有效性。代表产品的确定可以通过比较同一注册单元内所有产品的原材料、生产工艺、技术结构、性能指标和预期用途等资料，说明其能够代表本注册单元内其他产品的安全性和有效性。</w:t>
      </w:r>
    </w:p>
    <w:p w14:paraId="7D7E3DAF">
      <w:pPr>
        <w:pStyle w:val="2"/>
        <w:spacing w:line="520" w:lineRule="exact"/>
        <w:ind w:firstLine="640" w:firstLineChars="200"/>
      </w:pPr>
      <w:r>
        <w:rPr>
          <w:rFonts w:ascii="Times New Roman" w:hAnsi="Times New Roman" w:eastAsia="仿宋_GB2312"/>
          <w:sz w:val="32"/>
          <w:szCs w:val="32"/>
        </w:rPr>
        <w:t>例：有囊常用型气管插管和无囊常用型气管插管，如两种类型产品预期用途一致，生物、化学指标一致，而前者的物理等性能指标涵盖后者的指标，能够代表两种产品的安全性、有效性。则由此可以确定有囊常用型气管插管为这两种产品的典型产品。</w:t>
      </w:r>
    </w:p>
    <w:p w14:paraId="7C0D66FB">
      <w:pPr>
        <w:spacing w:line="520" w:lineRule="exact"/>
        <w:ind w:firstLine="640" w:firstLineChars="200"/>
        <w:rPr>
          <w:rFonts w:ascii="Times New Roman" w:hAnsi="Times New Roman" w:eastAsia="仿宋_GB2312"/>
          <w:strike/>
          <w:sz w:val="32"/>
          <w:szCs w:val="32"/>
        </w:rPr>
      </w:pPr>
      <w:r>
        <w:rPr>
          <w:rFonts w:ascii="Times New Roman" w:hAnsi="Times New Roman" w:eastAsia="仿宋_GB2312"/>
          <w:sz w:val="32"/>
          <w:szCs w:val="32"/>
        </w:rPr>
        <w:t>提供代表产品的选择依据。所检验的型号、规格需是能够代表本注册单元内其他产品的典型产品。若一个型号、规格不能覆盖，除选择典型型号、规格进行全性能检验外，还需选择其他型号、规格产品进行差异性检验。</w:t>
      </w:r>
    </w:p>
    <w:p w14:paraId="03E13AB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3.研究资料</w:t>
      </w:r>
    </w:p>
    <w:p w14:paraId="1ACDC8E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3.1</w:t>
      </w:r>
      <w:r>
        <w:rPr>
          <w:rFonts w:ascii="Times New Roman" w:hAnsi="Times New Roman" w:eastAsia="仿宋_GB2312"/>
          <w:bCs/>
          <w:sz w:val="32"/>
          <w:szCs w:val="32"/>
        </w:rPr>
        <w:t>性能研究</w:t>
      </w:r>
    </w:p>
    <w:p w14:paraId="0E538134">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应当提供产品化学/材料表征、物理性能指标及检验方法的确定依据、设计输入来源以及临床意义，所采用的标准或方法、采用的原因及理论基础。</w:t>
      </w:r>
      <w:r>
        <w:rPr>
          <w:rFonts w:ascii="Times New Roman" w:hAnsi="Times New Roman" w:eastAsia="仿宋_GB2312"/>
          <w:sz w:val="32"/>
          <w:szCs w:val="32"/>
        </w:rPr>
        <w:t xml:space="preserve">此外应根据产品宣称的其他特殊性能或结构，如含给药、吸痰等功能的产品应当制定适合产品的技术指标和检验方法。 </w:t>
      </w:r>
    </w:p>
    <w:p w14:paraId="71D0E1AE">
      <w:pPr>
        <w:pStyle w:val="2"/>
        <w:spacing w:line="520" w:lineRule="exact"/>
        <w:ind w:firstLine="640" w:firstLineChars="200"/>
        <w:rPr>
          <w:rFonts w:ascii="Times New Roman" w:hAnsi="Times New Roman" w:eastAsia="仿宋_GB2312"/>
          <w:bCs/>
          <w:kern w:val="2"/>
          <w:sz w:val="32"/>
          <w:szCs w:val="32"/>
        </w:rPr>
      </w:pPr>
      <w:r>
        <w:rPr>
          <w:rFonts w:hint="eastAsia" w:ascii="Times New Roman" w:hAnsi="Times New Roman" w:eastAsia="仿宋_GB2312"/>
          <w:bCs/>
          <w:kern w:val="2"/>
          <w:sz w:val="32"/>
          <w:szCs w:val="32"/>
        </w:rPr>
        <w:t>对于宣称含有给药功能的产品，应明确药物种类，同时还应提交药物相容性研究资料。</w:t>
      </w:r>
    </w:p>
    <w:p w14:paraId="7A6820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3.2生物学特性研究</w:t>
      </w:r>
    </w:p>
    <w:p w14:paraId="681A2E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应参照GB/T 16886.1《医疗器械生物学评价 第1部分：风险管理过程中的评价与试验》、YY/T 1778.1《医疗应用中呼吸气体通路生物相容性评价 第1部分：风险管理过程中的评价与试验》进行生物相容性评价。 </w:t>
      </w:r>
    </w:p>
    <w:p w14:paraId="363D03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3.3灭菌研究</w:t>
      </w:r>
    </w:p>
    <w:p w14:paraId="1B22D4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参考GB 18280</w:t>
      </w:r>
      <w:r>
        <w:rPr>
          <w:rFonts w:hint="eastAsia" w:ascii="Times New Roman" w:hAnsi="Times New Roman" w:eastAsia="仿宋_GB2312"/>
          <w:sz w:val="32"/>
          <w:szCs w:val="32"/>
        </w:rPr>
        <w:t>、</w:t>
      </w:r>
      <w:r>
        <w:rPr>
          <w:rFonts w:ascii="Times New Roman" w:hAnsi="Times New Roman" w:eastAsia="仿宋_GB2312"/>
          <w:sz w:val="32"/>
          <w:szCs w:val="32"/>
        </w:rPr>
        <w:t>GB 18279系列标准等相应规定，提交产品包装及灭菌方法选择的依据，经过确认并进行常规控制，并应开展以下方面的确认：</w:t>
      </w:r>
    </w:p>
    <w:p w14:paraId="3C0AB6A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3.3.1产品与灭菌过程的适应性：应考察灭菌/灭菌方法等工艺过程对于产品的影响。</w:t>
      </w:r>
    </w:p>
    <w:p w14:paraId="6CE88D5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3.3.2包装与灭菌过程的适应性。</w:t>
      </w:r>
    </w:p>
    <w:p w14:paraId="24BEFF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3.3.3应明确灭菌工艺（方法和参数）和无菌保证水平（SAL），并提供灭菌确认报告。无菌保证水平（SAL）应达到1×10</w:t>
      </w:r>
      <w:r>
        <w:rPr>
          <w:rFonts w:ascii="Times New Roman" w:hAnsi="Times New Roman" w:eastAsia="仿宋_GB2312"/>
          <w:sz w:val="32"/>
          <w:szCs w:val="32"/>
          <w:vertAlign w:val="superscript"/>
        </w:rPr>
        <w:t>-6</w:t>
      </w:r>
      <w:r>
        <w:rPr>
          <w:rFonts w:ascii="Times New Roman" w:hAnsi="Times New Roman" w:eastAsia="仿宋_GB2312"/>
          <w:sz w:val="32"/>
          <w:szCs w:val="32"/>
        </w:rPr>
        <w:t>。</w:t>
      </w:r>
    </w:p>
    <w:p w14:paraId="1947948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3.3.4残留毒性：若灭菌使用的方法容易出现残留</w:t>
      </w:r>
      <w:r>
        <w:rPr>
          <w:rFonts w:hint="eastAsia" w:ascii="Times New Roman" w:hAnsi="Times New Roman" w:eastAsia="仿宋_GB2312"/>
          <w:sz w:val="32"/>
          <w:szCs w:val="32"/>
        </w:rPr>
        <w:t>物</w:t>
      </w:r>
      <w:r>
        <w:rPr>
          <w:rFonts w:ascii="Times New Roman" w:hAnsi="Times New Roman" w:eastAsia="仿宋_GB2312"/>
          <w:sz w:val="32"/>
          <w:szCs w:val="32"/>
        </w:rPr>
        <w:t>，如环氧乙烷灭菌，应当明确残留物信息及采取的处理方法，并提供环氧乙烷解析的研究资料。</w:t>
      </w:r>
    </w:p>
    <w:p w14:paraId="47722025">
      <w:pPr>
        <w:spacing w:line="520" w:lineRule="exact"/>
        <w:ind w:firstLine="640" w:firstLineChars="200"/>
        <w:outlineLvl w:val="4"/>
        <w:rPr>
          <w:rFonts w:ascii="Times New Roman" w:hAnsi="Times New Roman" w:eastAsia="仿宋_GB2312"/>
          <w:sz w:val="32"/>
          <w:szCs w:val="32"/>
          <w:lang w:eastAsia="zh-Hans"/>
        </w:rPr>
      </w:pPr>
      <w:r>
        <w:rPr>
          <w:rFonts w:ascii="Times New Roman" w:hAnsi="Times New Roman" w:eastAsia="仿宋_GB2312"/>
          <w:sz w:val="32"/>
          <w:szCs w:val="32"/>
        </w:rPr>
        <w:t>3.4</w:t>
      </w:r>
      <w:r>
        <w:rPr>
          <w:rFonts w:ascii="Times New Roman" w:hAnsi="Times New Roman" w:eastAsia="仿宋_GB2312"/>
          <w:sz w:val="32"/>
          <w:szCs w:val="32"/>
          <w:lang w:eastAsia="zh-Hans"/>
        </w:rPr>
        <w:t>产品稳定性研究</w:t>
      </w:r>
    </w:p>
    <w:p w14:paraId="111EA98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3.4.1</w:t>
      </w:r>
      <w:r>
        <w:rPr>
          <w:rFonts w:ascii="Times New Roman" w:hAnsi="Times New Roman" w:eastAsia="仿宋_GB2312"/>
          <w:spacing w:val="-1"/>
          <w:sz w:val="32"/>
          <w:szCs w:val="32"/>
        </w:rPr>
        <w:t xml:space="preserve">货架有效期 </w:t>
      </w:r>
    </w:p>
    <w:p w14:paraId="1301C643">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应提供货架有效期研究资料，证明在货架有效期内，产品可保持性能功能满足使用要求。</w:t>
      </w:r>
    </w:p>
    <w:p w14:paraId="6BD1124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产品有效期验证可采用加速稳定性试验和实时稳定性试验，申请人需在试验方案中设定检验项目、检验方法及判定标准。产品有效期验证资料可包括以下内容：产品原材料、</w:t>
      </w:r>
      <w:r>
        <w:rPr>
          <w:rFonts w:hint="eastAsia" w:ascii="Times New Roman" w:hAnsi="Times New Roman" w:eastAsia="仿宋_GB2312"/>
          <w:sz w:val="32"/>
          <w:szCs w:val="32"/>
        </w:rPr>
        <w:t>无菌屏障系统材料</w:t>
      </w:r>
      <w:r>
        <w:rPr>
          <w:rFonts w:ascii="Times New Roman" w:hAnsi="Times New Roman" w:eastAsia="仿宋_GB2312"/>
          <w:sz w:val="32"/>
          <w:szCs w:val="32"/>
        </w:rPr>
        <w:t>、生产工艺、灭菌方法、储存运输条件等基本信息，有效期相关影响因素的说明，稳定性试验的试验方案及试验报告等。</w:t>
      </w:r>
    </w:p>
    <w:p w14:paraId="746782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3.4.2包装研究</w:t>
      </w:r>
    </w:p>
    <w:p w14:paraId="5DD024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产品包装主要对产品起到防护和无菌屏障的作用。产品包装验证可依据有关国内、国际标准进行（如GB/T 19633.1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14:paraId="2D195F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3.5其他资料</w:t>
      </w:r>
    </w:p>
    <w:p w14:paraId="5F4E5EA0">
      <w:pPr>
        <w:spacing w:line="520" w:lineRule="exact"/>
        <w:ind w:firstLine="640" w:firstLineChars="200"/>
        <w:rPr>
          <w:rFonts w:ascii="Times New Roman" w:hAnsi="Times New Roman" w:eastAsia="仿宋_GB2312"/>
          <w:sz w:val="32"/>
          <w:szCs w:val="32"/>
          <w:lang w:eastAsia="zh-Hans"/>
        </w:rPr>
      </w:pPr>
      <w:r>
        <w:rPr>
          <w:rFonts w:ascii="Times New Roman" w:hAnsi="Times New Roman" w:eastAsia="仿宋_GB2312"/>
          <w:sz w:val="32"/>
          <w:szCs w:val="32"/>
        </w:rPr>
        <w:t>该产品已</w:t>
      </w:r>
      <w:r>
        <w:rPr>
          <w:rFonts w:ascii="Times New Roman" w:hAnsi="Times New Roman" w:eastAsia="仿宋_GB2312"/>
          <w:sz w:val="32"/>
          <w:szCs w:val="32"/>
          <w:lang w:eastAsia="zh-Hans"/>
        </w:rPr>
        <w:t>列入</w:t>
      </w:r>
      <w:r>
        <w:rPr>
          <w:rFonts w:hint="eastAsia" w:ascii="Times New Roman" w:hAnsi="Times New Roman" w:eastAsia="仿宋_GB2312"/>
          <w:spacing w:val="-1"/>
          <w:sz w:val="32"/>
          <w:szCs w:val="32"/>
        </w:rPr>
        <w:t>《免于进行临床评价医疗器械目录》</w:t>
      </w:r>
      <w:r>
        <w:rPr>
          <w:rFonts w:ascii="Times New Roman" w:hAnsi="Times New Roman" w:eastAsia="仿宋_GB2312"/>
          <w:sz w:val="32"/>
          <w:szCs w:val="32"/>
          <w:lang w:eastAsia="zh-Hans"/>
        </w:rPr>
        <w:t>，申请人应当按照《列入免于临床评价医疗器械目录产品对比说明技术指导原则》，从基本原理、结构组成、性能、安全性、适用范围等方面，证明产品的安全有效性。</w:t>
      </w:r>
    </w:p>
    <w:p w14:paraId="07DFA2A6">
      <w:pPr>
        <w:spacing w:line="520" w:lineRule="exact"/>
        <w:ind w:right="-67" w:rightChars="-32"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3.6可用性研究</w:t>
      </w:r>
    </w:p>
    <w:p w14:paraId="0A7540B9">
      <w:pPr>
        <w:spacing w:line="520" w:lineRule="exact"/>
        <w:ind w:right="-67" w:rightChars="-32"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按照《医疗器械可用性工程注册审查指导原则》要求，中、低使用风险医疗器械可基于风险管理过程开展可用性工程生命周期质控工作，提交使用错误评估报告。若前期已开展可用性工程工作，亦可提交可用性工程研究报告，用于替代使用错误评估报告。</w:t>
      </w:r>
    </w:p>
    <w:p w14:paraId="63C38200">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使用错误评估报告用于细化风险管理报告关于可用性的内容，包括基本信息、使用风险级别、核心要素、同类医疗器械上市后使用问题分析、使用风险管理、结论等内容。申请人在对同类医疗器械上市后使用问题进行分析时，应重点考虑产品材质与润滑剂相容性问题。</w:t>
      </w:r>
    </w:p>
    <w:p w14:paraId="6268B9EB">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7</w:t>
      </w:r>
      <w:r>
        <w:rPr>
          <w:rFonts w:ascii="Times New Roman" w:hAnsi="Times New Roman" w:eastAsia="仿宋_GB2312"/>
          <w:sz w:val="32"/>
          <w:szCs w:val="32"/>
        </w:rPr>
        <w:t>其他</w:t>
      </w:r>
    </w:p>
    <w:p w14:paraId="5EA1E51D">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结合申报产品的特点，</w:t>
      </w:r>
      <w:r>
        <w:rPr>
          <w:rFonts w:hint="eastAsia" w:ascii="Times New Roman" w:hAnsi="Times New Roman" w:eastAsia="仿宋_GB2312"/>
          <w:sz w:val="32"/>
          <w:szCs w:val="32"/>
        </w:rPr>
        <w:t>提供</w:t>
      </w:r>
      <w:r>
        <w:rPr>
          <w:rFonts w:ascii="Times New Roman" w:hAnsi="Times New Roman" w:eastAsia="仿宋_GB2312"/>
          <w:sz w:val="32"/>
          <w:szCs w:val="32"/>
        </w:rPr>
        <w:t>证明产品安全性、有效性的其他研究资料。如含有DEHP增塑剂的产品，应提交人体使用安全性评估研究资料，应特别考虑对新生儿、儿童等人群的影响。</w:t>
      </w:r>
    </w:p>
    <w:p w14:paraId="46B7B6F2">
      <w:pPr>
        <w:spacing w:line="520" w:lineRule="exact"/>
        <w:ind w:right="-67" w:rightChars="-32"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若申请人有推荐使用的润滑剂，宜开展预期使用的润滑剂种类、最大用量与申报产品相容性的研究，应特别关注套囊组件与润滑剂的相容性，研究润滑剂的使用对于产品密封性等方面性能是否产生不利影响。</w:t>
      </w:r>
    </w:p>
    <w:p w14:paraId="51DFF01D">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14:paraId="316DFCB9">
      <w:pPr>
        <w:spacing w:line="520" w:lineRule="exact"/>
        <w:ind w:right="-67" w:rightChars="-32" w:firstLine="636" w:firstLineChars="200"/>
        <w:rPr>
          <w:rFonts w:hint="eastAsia" w:ascii="Times New Roman" w:hAnsi="Times New Roman" w:eastAsia="仿宋_GB2312"/>
          <w:spacing w:val="-1"/>
          <w:sz w:val="32"/>
          <w:szCs w:val="32"/>
        </w:rPr>
      </w:pPr>
      <w:r>
        <w:rPr>
          <w:rFonts w:hint="eastAsia" w:ascii="Times New Roman" w:hAnsi="Times New Roman" w:eastAsia="仿宋_GB2312"/>
          <w:spacing w:val="-1"/>
          <w:sz w:val="32"/>
          <w:szCs w:val="32"/>
        </w:rPr>
        <w:t>该产品已列入《免于进行临床评价医疗器械目录》，申请人无需提交临床评价资料。</w:t>
      </w:r>
    </w:p>
    <w:p w14:paraId="26405B46">
      <w:pPr>
        <w:spacing w:line="520" w:lineRule="exact"/>
        <w:ind w:right="-67" w:rightChars="-32" w:firstLine="636" w:firstLineChars="200"/>
        <w:rPr>
          <w:rFonts w:hint="eastAsia" w:ascii="Times New Roman" w:hAnsi="Times New Roman" w:eastAsia="仿宋_GB2312"/>
          <w:spacing w:val="-1"/>
          <w:sz w:val="32"/>
          <w:szCs w:val="32"/>
        </w:rPr>
      </w:pPr>
      <w:r>
        <w:rPr>
          <w:rFonts w:hint="eastAsia" w:ascii="Times New Roman" w:hAnsi="Times New Roman" w:eastAsia="仿宋_GB2312"/>
          <w:spacing w:val="-1"/>
          <w:sz w:val="32"/>
          <w:szCs w:val="32"/>
        </w:rPr>
        <w:t>应充分考虑豁免情况不包括新材料、新作用机理、新功能的产品。若无法证明申报产品与《目录》产品具有等同性，则应按照《医疗器械临床评价技术指导原则》等相关指导原则开展相应工作，提供符合要求的临床评价资料。</w:t>
      </w:r>
    </w:p>
    <w:p w14:paraId="571EDBA3">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6C8D23A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产品说明书、标签应符合《医疗器械说明书和标签管理规定》和YY/T 0466.1《</w:t>
      </w:r>
      <w:r>
        <w:rPr>
          <w:rFonts w:hint="eastAsia" w:ascii="Times New Roman" w:hAnsi="Times New Roman" w:eastAsia="仿宋_GB2312"/>
          <w:sz w:val="32"/>
          <w:szCs w:val="32"/>
        </w:rPr>
        <w:t>医疗器械 用于制造商提供信息的符号 第1部分：通用要求</w:t>
      </w:r>
      <w:r>
        <w:rPr>
          <w:rFonts w:ascii="Times New Roman" w:hAnsi="Times New Roman" w:eastAsia="仿宋_GB2312"/>
          <w:sz w:val="32"/>
          <w:szCs w:val="32"/>
        </w:rPr>
        <w:t>》的要求。同时根据产品适用情况可参考以下要求：</w:t>
      </w:r>
    </w:p>
    <w:p w14:paraId="48531F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1.明确不同型号规格产品的适用人群（成人、小儿等）；</w:t>
      </w:r>
    </w:p>
    <w:p w14:paraId="254708C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2.对产品可应用的途径，包括经口途径、经鼻途径等进行说明；</w:t>
      </w:r>
    </w:p>
    <w:p w14:paraId="09E193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3.对产品允许留置人体的时间进行说明；</w:t>
      </w:r>
    </w:p>
    <w:p w14:paraId="05D295D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4.对应用长时间留置产品的患者如何监护进行说明；</w:t>
      </w:r>
    </w:p>
    <w:p w14:paraId="6FC0802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5.提示对产品材料过敏者禁用；</w:t>
      </w:r>
    </w:p>
    <w:p w14:paraId="1AF785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6.提示喉部水肿、气道急性炎症及咽喉部脓肿患者慎用；</w:t>
      </w:r>
    </w:p>
    <w:p w14:paraId="3C4D0F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7.提示胸主动脉瘤压迫气管、严重出血体质的患者慎用；</w:t>
      </w:r>
    </w:p>
    <w:p w14:paraId="75372E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8.提示一次性使用，用后销毁，包装如有破损，严禁使用；</w:t>
      </w:r>
    </w:p>
    <w:p w14:paraId="65BB7D9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9.提示灭菌方式。</w:t>
      </w:r>
    </w:p>
    <w:p w14:paraId="30509916">
      <w:pPr>
        <w:pStyle w:val="2"/>
        <w:spacing w:line="520" w:lineRule="exact"/>
        <w:ind w:firstLine="640" w:firstLineChars="200"/>
        <w:jc w:val="both"/>
        <w:rPr>
          <w:rFonts w:hint="eastAsia" w:ascii="Times New Roman" w:hAnsi="Times New Roman" w:eastAsia="仿宋_GB2312"/>
          <w:kern w:val="2"/>
          <w:sz w:val="32"/>
          <w:szCs w:val="32"/>
        </w:rPr>
      </w:pPr>
      <w:r>
        <w:rPr>
          <w:rFonts w:ascii="Times New Roman" w:hAnsi="Times New Roman" w:eastAsia="仿宋_GB2312"/>
          <w:kern w:val="2"/>
          <w:sz w:val="32"/>
          <w:szCs w:val="32"/>
        </w:rPr>
        <w:t>10.以DEHP增塑的聚氯乙烯（PVC）作为原料的产品，应明确标识该产品含有DEHP，在警示信息中应写明DEHP的相关毒性</w:t>
      </w:r>
      <w:r>
        <w:rPr>
          <w:rFonts w:hint="eastAsia" w:ascii="Times New Roman" w:hAnsi="Times New Roman" w:eastAsia="仿宋_GB2312"/>
          <w:kern w:val="2"/>
          <w:sz w:val="32"/>
          <w:szCs w:val="32"/>
        </w:rPr>
        <w:t>；</w:t>
      </w:r>
    </w:p>
    <w:p w14:paraId="319EB0FE">
      <w:pPr>
        <w:spacing w:line="52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11.若申请人宣称产品使用过程中不使用润滑剂，应明确予以说明。若申请人有</w:t>
      </w:r>
      <w:r>
        <w:rPr>
          <w:rFonts w:ascii="Times New Roman" w:hAnsi="Times New Roman" w:eastAsia="仿宋_GB2312"/>
          <w:sz w:val="32"/>
          <w:szCs w:val="32"/>
        </w:rPr>
        <w:t>推荐</w:t>
      </w:r>
      <w:r>
        <w:rPr>
          <w:rFonts w:eastAsia="仿宋_GB2312"/>
          <w:sz w:val="32"/>
          <w:szCs w:val="32"/>
        </w:rPr>
        <w:t>使用</w:t>
      </w:r>
      <w:r>
        <w:rPr>
          <w:rFonts w:hint="eastAsia" w:eastAsia="仿宋_GB2312"/>
          <w:sz w:val="32"/>
          <w:szCs w:val="32"/>
        </w:rPr>
        <w:t>的</w:t>
      </w:r>
      <w:r>
        <w:rPr>
          <w:rFonts w:eastAsia="仿宋_GB2312"/>
          <w:sz w:val="32"/>
          <w:szCs w:val="32"/>
        </w:rPr>
        <w:t>润滑</w:t>
      </w:r>
      <w:r>
        <w:rPr>
          <w:rFonts w:hint="eastAsia" w:eastAsia="仿宋_GB2312"/>
          <w:sz w:val="32"/>
          <w:szCs w:val="32"/>
        </w:rPr>
        <w:t>剂</w:t>
      </w:r>
      <w:r>
        <w:rPr>
          <w:rFonts w:eastAsia="仿宋_GB2312"/>
          <w:sz w:val="32"/>
          <w:szCs w:val="32"/>
        </w:rPr>
        <w:t>，应说明推荐使用的润滑</w:t>
      </w:r>
      <w:r>
        <w:rPr>
          <w:rFonts w:hint="eastAsia" w:eastAsia="仿宋_GB2312"/>
          <w:sz w:val="32"/>
          <w:szCs w:val="32"/>
        </w:rPr>
        <w:t>剂种类、经验证</w:t>
      </w:r>
      <w:r>
        <w:rPr>
          <w:rFonts w:eastAsia="仿宋_GB2312"/>
          <w:sz w:val="32"/>
          <w:szCs w:val="32"/>
        </w:rPr>
        <w:t>的最大</w:t>
      </w:r>
      <w:r>
        <w:rPr>
          <w:rFonts w:hint="eastAsia" w:eastAsia="仿宋_GB2312"/>
          <w:sz w:val="32"/>
          <w:szCs w:val="32"/>
        </w:rPr>
        <w:t>用量等信息。根据润滑剂相关研究资料，若有不适用的润滑剂，</w:t>
      </w:r>
      <w:r>
        <w:rPr>
          <w:rFonts w:eastAsia="仿宋_GB2312"/>
          <w:sz w:val="32"/>
          <w:szCs w:val="32"/>
        </w:rPr>
        <w:t>警示</w:t>
      </w:r>
      <w:r>
        <w:rPr>
          <w:rFonts w:hint="eastAsia" w:eastAsia="仿宋_GB2312"/>
          <w:sz w:val="32"/>
          <w:szCs w:val="32"/>
        </w:rPr>
        <w:t>信息中明确</w:t>
      </w:r>
      <w:r>
        <w:rPr>
          <w:rFonts w:eastAsia="仿宋_GB2312"/>
          <w:sz w:val="32"/>
          <w:szCs w:val="32"/>
        </w:rPr>
        <w:t>避免使用的润滑</w:t>
      </w:r>
      <w:r>
        <w:rPr>
          <w:rFonts w:hint="eastAsia" w:eastAsia="仿宋_GB2312"/>
          <w:sz w:val="32"/>
          <w:szCs w:val="32"/>
        </w:rPr>
        <w:t>剂种类。</w:t>
      </w:r>
      <w:r>
        <w:rPr>
          <w:rFonts w:eastAsia="仿宋_GB2312"/>
          <w:sz w:val="32"/>
          <w:szCs w:val="32"/>
        </w:rPr>
        <w:t>如</w:t>
      </w:r>
      <w:r>
        <w:rPr>
          <w:rFonts w:hint="eastAsia" w:eastAsia="仿宋_GB2312"/>
          <w:sz w:val="32"/>
          <w:szCs w:val="32"/>
        </w:rPr>
        <w:t>：若申报产品研究资料表明产品</w:t>
      </w:r>
      <w:r>
        <w:rPr>
          <w:rFonts w:eastAsia="仿宋_GB2312"/>
          <w:sz w:val="32"/>
          <w:szCs w:val="32"/>
        </w:rPr>
        <w:t>使用液体石蜡等石油基质润滑剂</w:t>
      </w:r>
      <w:r>
        <w:rPr>
          <w:rFonts w:hint="eastAsia" w:eastAsia="仿宋_GB2312"/>
          <w:sz w:val="32"/>
          <w:szCs w:val="32"/>
        </w:rPr>
        <w:t>可能会增加套囊漏气风险的，应在警示信息中明确产品避免使用</w:t>
      </w:r>
      <w:r>
        <w:rPr>
          <w:rFonts w:eastAsia="仿宋_GB2312"/>
          <w:sz w:val="32"/>
          <w:szCs w:val="32"/>
        </w:rPr>
        <w:t>液体石蜡等石油基质润滑剂</w:t>
      </w:r>
      <w:r>
        <w:rPr>
          <w:rFonts w:hint="eastAsia" w:eastAsia="仿宋_GB2312"/>
          <w:sz w:val="32"/>
          <w:szCs w:val="32"/>
        </w:rPr>
        <w:t>。</w:t>
      </w:r>
    </w:p>
    <w:p w14:paraId="2E38274A">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00C011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注册申请人应按照《关于公布医疗器械注册申报资料要求和批准证明文件格式的公告》提交申报产品的质量管理体系文件。</w:t>
      </w:r>
    </w:p>
    <w:p w14:paraId="4D49887C">
      <w:pPr>
        <w:numPr>
          <w:ilvl w:val="0"/>
          <w:numId w:val="1"/>
        </w:numPr>
        <w:spacing w:line="520" w:lineRule="exact"/>
        <w:ind w:right="-67" w:rightChars="-32" w:firstLine="640" w:firstLineChars="200"/>
        <w:rPr>
          <w:rFonts w:ascii="Times New Roman" w:hAnsi="Times New Roman" w:eastAsia="黑体"/>
          <w:sz w:val="32"/>
          <w:szCs w:val="32"/>
        </w:rPr>
      </w:pPr>
      <w:r>
        <w:rPr>
          <w:rFonts w:ascii="Times New Roman" w:hAnsi="Times New Roman" w:eastAsia="黑体"/>
          <w:sz w:val="32"/>
          <w:szCs w:val="32"/>
        </w:rPr>
        <w:t xml:space="preserve">参考文献 </w:t>
      </w:r>
    </w:p>
    <w:p w14:paraId="7DDC616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[1]国家食品药品监督管理</w:t>
      </w:r>
      <w:r>
        <w:rPr>
          <w:rFonts w:hint="eastAsia" w:ascii="Times New Roman" w:hAnsi="Times New Roman" w:eastAsia="仿宋_GB2312"/>
          <w:sz w:val="32"/>
          <w:szCs w:val="32"/>
        </w:rPr>
        <w:t>总</w:t>
      </w:r>
      <w:r>
        <w:rPr>
          <w:rFonts w:ascii="Times New Roman" w:hAnsi="Times New Roman" w:eastAsia="仿宋_GB2312"/>
          <w:sz w:val="32"/>
          <w:szCs w:val="32"/>
        </w:rPr>
        <w:t>局.医疗器械分类目录:国家食品药品监督管理总局公告2017年第104号[Z].</w:t>
      </w:r>
    </w:p>
    <w:p w14:paraId="6400C05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[2]国家食品药品监督管理</w:t>
      </w:r>
      <w:r>
        <w:rPr>
          <w:rFonts w:hint="eastAsia" w:ascii="Times New Roman" w:hAnsi="Times New Roman" w:eastAsia="仿宋_GB2312"/>
          <w:sz w:val="32"/>
          <w:szCs w:val="32"/>
        </w:rPr>
        <w:t>总</w:t>
      </w:r>
      <w:r>
        <w:rPr>
          <w:rFonts w:ascii="Times New Roman" w:hAnsi="Times New Roman" w:eastAsia="仿宋_GB2312"/>
          <w:sz w:val="32"/>
          <w:szCs w:val="32"/>
        </w:rPr>
        <w:t>局.医疗器械注册单元划分指导原则:总局通告2017年第187号[Z].</w:t>
      </w:r>
    </w:p>
    <w:p w14:paraId="041997C5">
      <w:pPr>
        <w:pStyle w:val="2"/>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[3] 国家药品监督管理局医疗器械技术审评中心. 医疗器械可用性工程注册审查指导原则: 国家药监局器审中心关于发布医疗器械可用性工程注册审查指导原则的通告（2024年第13号）[Z].</w:t>
      </w:r>
    </w:p>
    <w:p w14:paraId="1453424F">
      <w:pPr>
        <w:spacing w:line="520" w:lineRule="exact"/>
        <w:ind w:firstLine="640" w:firstLineChars="200"/>
        <w:rPr>
          <w:rFonts w:ascii="Times New Roman" w:hAnsi="Times New Roman"/>
        </w:rPr>
      </w:pP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]国家药品监督管理局.免于</w:t>
      </w:r>
      <w:r>
        <w:rPr>
          <w:rFonts w:hint="eastAsia" w:ascii="Times New Roman" w:hAnsi="Times New Roman" w:eastAsia="仿宋_GB2312"/>
          <w:sz w:val="32"/>
          <w:szCs w:val="32"/>
        </w:rPr>
        <w:t>进行</w:t>
      </w:r>
      <w:r>
        <w:rPr>
          <w:rFonts w:ascii="Times New Roman" w:hAnsi="Times New Roman" w:eastAsia="仿宋_GB2312"/>
          <w:sz w:val="32"/>
          <w:szCs w:val="32"/>
        </w:rPr>
        <w:t>临床评价医疗器械目录：国家药监局通告202</w:t>
      </w:r>
      <w:r>
        <w:rPr>
          <w:rFonts w:hint="eastAsia" w:ascii="Times New Roman" w:hAnsi="Times New Roman" w:eastAsia="仿宋_GB2312"/>
          <w:sz w:val="32"/>
          <w:szCs w:val="32"/>
        </w:rPr>
        <w:t>5</w:t>
      </w:r>
      <w:r>
        <w:rPr>
          <w:rFonts w:ascii="Times New Roman" w:hAnsi="Times New Roman" w:eastAsia="仿宋_GB2312"/>
          <w:sz w:val="32"/>
          <w:szCs w:val="32"/>
        </w:rPr>
        <w:t>年第</w:t>
      </w:r>
      <w:r>
        <w:rPr>
          <w:rFonts w:hint="eastAsia" w:ascii="Times New Roman" w:hAnsi="Times New Roman" w:eastAsia="仿宋_GB2312"/>
          <w:sz w:val="32"/>
          <w:szCs w:val="32"/>
        </w:rPr>
        <w:t>19</w:t>
      </w:r>
      <w:r>
        <w:rPr>
          <w:rFonts w:ascii="Times New Roman" w:hAnsi="Times New Roman" w:eastAsia="仿宋_GB2312"/>
          <w:sz w:val="32"/>
          <w:szCs w:val="32"/>
        </w:rPr>
        <w:t>号[Z].</w:t>
      </w:r>
    </w:p>
    <w:p w14:paraId="41920E4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]国家药品监督管理局.列入免于临床评价医疗器械目录产品对比说明技术指导原则:国家药监局通告2021年第73号 [Z].</w:t>
      </w:r>
    </w:p>
    <w:p w14:paraId="39F6104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6</w:t>
      </w:r>
      <w:r>
        <w:rPr>
          <w:rFonts w:ascii="Times New Roman" w:hAnsi="Times New Roman" w:eastAsia="仿宋_GB2312"/>
          <w:sz w:val="32"/>
          <w:szCs w:val="32"/>
        </w:rPr>
        <w:t>]国家食品药品监督管理</w:t>
      </w:r>
      <w:r>
        <w:rPr>
          <w:rFonts w:hint="eastAsia" w:ascii="Times New Roman" w:hAnsi="Times New Roman" w:eastAsia="仿宋_GB2312"/>
          <w:sz w:val="32"/>
          <w:szCs w:val="32"/>
        </w:rPr>
        <w:t>总</w:t>
      </w:r>
      <w:r>
        <w:rPr>
          <w:rFonts w:ascii="Times New Roman" w:hAnsi="Times New Roman" w:eastAsia="仿宋_GB2312"/>
          <w:sz w:val="32"/>
          <w:szCs w:val="32"/>
        </w:rPr>
        <w:t>局.医疗器械说明书和标签管理规定:国家食品药品监督管理总局令第6号[Z].</w:t>
      </w:r>
    </w:p>
    <w:p w14:paraId="4DEA9903">
      <w:pPr>
        <w:spacing w:line="520" w:lineRule="exact"/>
        <w:ind w:firstLine="640" w:firstLineChars="200"/>
        <w:rPr>
          <w:rFonts w:ascii="Times New Roman" w:hAnsi="Times New Roman"/>
        </w:rPr>
      </w:pP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]国家药品监督管理局.医疗器械注册申报资料要求和批准证明文件格式:国家药监局公告2021年第121号[Z].</w:t>
      </w:r>
    </w:p>
    <w:p w14:paraId="7C3C63A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8</w:t>
      </w:r>
      <w:r>
        <w:rPr>
          <w:rFonts w:ascii="Times New Roman" w:hAnsi="Times New Roman" w:eastAsia="仿宋_GB2312"/>
          <w:sz w:val="32"/>
          <w:szCs w:val="32"/>
        </w:rPr>
        <w:t>]GB/T 42062-2022,医疗器械 风险管理对医疗器械的应用[S].</w:t>
      </w:r>
    </w:p>
    <w:p w14:paraId="692CD1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9</w:t>
      </w:r>
      <w:r>
        <w:rPr>
          <w:rFonts w:ascii="Times New Roman" w:hAnsi="Times New Roman" w:eastAsia="仿宋_GB2312"/>
          <w:sz w:val="32"/>
          <w:szCs w:val="32"/>
        </w:rPr>
        <w:t>]</w:t>
      </w:r>
      <w:r>
        <w:rPr>
          <w:rFonts w:hint="eastAsia" w:ascii="Times New Roman" w:hAnsi="Times New Roman" w:eastAsia="仿宋_GB2312"/>
          <w:sz w:val="32"/>
          <w:szCs w:val="32"/>
        </w:rPr>
        <w:t>GB/T 19633.1-2024,最终灭菌医疗器械包装 第1部分：材料、无菌屏障系统和包装系统的要求[S]</w:t>
      </w:r>
      <w:r>
        <w:rPr>
          <w:rFonts w:ascii="Times New Roman" w:hAnsi="Times New Roman" w:eastAsia="仿宋_GB2312"/>
          <w:sz w:val="32"/>
          <w:szCs w:val="32"/>
        </w:rPr>
        <w:t>.</w:t>
      </w:r>
    </w:p>
    <w:p w14:paraId="424B116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10</w:t>
      </w:r>
      <w:r>
        <w:rPr>
          <w:rFonts w:ascii="Times New Roman" w:hAnsi="Times New Roman" w:eastAsia="仿宋_GB2312"/>
          <w:sz w:val="32"/>
          <w:szCs w:val="32"/>
        </w:rPr>
        <w:t>]GB/T 1962.1-2015,注射器、注射针及其他医疗器械用6%（鲁尔）圆锥接头 第1部分：通用要求[S].</w:t>
      </w:r>
    </w:p>
    <w:p w14:paraId="4C7A131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]GB/T 14233.1-2022,医用输液、输血、注射器具检验方法第1部分：化学分析方法[S].</w:t>
      </w:r>
    </w:p>
    <w:p w14:paraId="6903E13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]GB/T 14233.2-2005,医用输液、输血、注射器具检验方法  第2部分：生物学试验方法[S].</w:t>
      </w:r>
    </w:p>
    <w:p w14:paraId="3750982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Times New Roman" w:hAnsi="Times New Roman" w:eastAsia="仿宋_GB2312"/>
          <w:sz w:val="32"/>
          <w:szCs w:val="32"/>
        </w:rPr>
        <w:t>]GB/T 16886.1-2022,医疗器械生物学评价 第1部分：风险管理过程中的评价与试验[S].</w:t>
      </w:r>
    </w:p>
    <w:p w14:paraId="6B7ECA9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]YY/T 1778.1-2021,医疗应用中呼吸气体通路生物相容性评价 第1部分：风险管理过程中的评价与试验[S].</w:t>
      </w:r>
    </w:p>
    <w:p w14:paraId="3F000A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]YY/T 0681-2018,无菌医疗器械包装试验方法系列标准[S].</w:t>
      </w:r>
    </w:p>
    <w:p w14:paraId="684CD31A">
      <w:pPr>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6</w:t>
      </w:r>
      <w:r>
        <w:rPr>
          <w:rFonts w:ascii="Times New Roman" w:hAnsi="Times New Roman" w:eastAsia="仿宋_GB2312"/>
          <w:sz w:val="32"/>
          <w:szCs w:val="32"/>
        </w:rPr>
        <w:t>]YY /T 0337-20</w:t>
      </w:r>
      <w:r>
        <w:rPr>
          <w:rFonts w:hint="eastAsia" w:ascii="Times New Roman" w:hAnsi="Times New Roman" w:eastAsia="仿宋_GB2312"/>
          <w:sz w:val="32"/>
          <w:szCs w:val="32"/>
        </w:rPr>
        <w:t>25</w:t>
      </w:r>
      <w:r>
        <w:rPr>
          <w:rFonts w:ascii="Times New Roman" w:hAnsi="Times New Roman" w:eastAsia="仿宋_GB2312"/>
          <w:sz w:val="32"/>
          <w:szCs w:val="32"/>
        </w:rPr>
        <w:t>,</w:t>
      </w:r>
      <w:r>
        <w:rPr>
          <w:rFonts w:hint="eastAsia" w:ascii="Times New Roman" w:hAnsi="Times New Roman" w:eastAsia="仿宋_GB2312"/>
          <w:sz w:val="32"/>
          <w:szCs w:val="32"/>
        </w:rPr>
        <w:t>麻醉和呼吸设备 气管插管和接头</w:t>
      </w:r>
      <w:r>
        <w:rPr>
          <w:rFonts w:ascii="Times New Roman" w:hAnsi="Times New Roman" w:eastAsia="仿宋_GB2312"/>
          <w:sz w:val="32"/>
          <w:szCs w:val="32"/>
        </w:rPr>
        <w:t>[S].</w:t>
      </w:r>
    </w:p>
    <w:p w14:paraId="5948B8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7</w:t>
      </w:r>
      <w:r>
        <w:rPr>
          <w:rFonts w:ascii="Times New Roman" w:hAnsi="Times New Roman" w:eastAsia="仿宋_GB2312"/>
          <w:sz w:val="32"/>
          <w:szCs w:val="32"/>
        </w:rPr>
        <w:t>]YY/T 0466.1-</w:t>
      </w:r>
      <w:r>
        <w:rPr>
          <w:rFonts w:hint="eastAsia" w:ascii="Times New Roman" w:hAnsi="Times New Roman" w:eastAsia="仿宋_GB2312"/>
          <w:sz w:val="32"/>
          <w:szCs w:val="32"/>
        </w:rPr>
        <w:t>2023,医疗器械 用于制造商提供信息的符号 第1部分：通用要求[S].</w:t>
      </w:r>
    </w:p>
    <w:p w14:paraId="55CFE7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8</w:t>
      </w:r>
      <w:r>
        <w:rPr>
          <w:rFonts w:ascii="Times New Roman" w:hAnsi="Times New Roman" w:eastAsia="仿宋_GB2312"/>
          <w:sz w:val="32"/>
          <w:szCs w:val="32"/>
        </w:rPr>
        <w:t>]YY/T 1040.1-2015,麻醉和呼吸设备 圆锥接头 第1部分：锥头与锥套[S].</w:t>
      </w:r>
    </w:p>
    <w:p w14:paraId="5D254464">
      <w:pPr>
        <w:spacing w:line="600" w:lineRule="exact"/>
        <w:jc w:val="lef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附表</w:t>
      </w:r>
    </w:p>
    <w:p w14:paraId="1C386C60">
      <w:pPr>
        <w:pStyle w:val="2"/>
        <w:spacing w:line="600" w:lineRule="exact"/>
        <w:rPr>
          <w:rFonts w:ascii="Times New Roman" w:hAnsi="Times New Roman"/>
        </w:rPr>
      </w:pPr>
    </w:p>
    <w:p w14:paraId="68F5B751">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产品主要危险</w:t>
      </w:r>
    </w:p>
    <w:p w14:paraId="4ED71251">
      <w:pPr>
        <w:pStyle w:val="2"/>
        <w:spacing w:line="600" w:lineRule="exact"/>
        <w:rPr>
          <w:rFonts w:ascii="Times New Roman" w:hAnsi="Times New Roman"/>
        </w:rPr>
      </w:pPr>
    </w:p>
    <w:tbl>
      <w:tblPr>
        <w:tblStyle w:val="11"/>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438"/>
        <w:gridCol w:w="2956"/>
        <w:gridCol w:w="3789"/>
      </w:tblGrid>
      <w:tr w14:paraId="194B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4" w:hRule="atLeast"/>
          <w:tblHeader/>
          <w:jc w:val="center"/>
        </w:trPr>
        <w:tc>
          <w:tcPr>
            <w:tcW w:w="2309" w:type="dxa"/>
            <w:gridSpan w:val="2"/>
            <w:noWrap w:val="0"/>
            <w:vAlign w:val="center"/>
          </w:tcPr>
          <w:p w14:paraId="6E090B7F">
            <w:pPr>
              <w:spacing w:line="400" w:lineRule="exact"/>
              <w:jc w:val="center"/>
              <w:rPr>
                <w:rFonts w:ascii="Times New Roman" w:hAnsi="Times New Roman" w:eastAsia="黑体"/>
                <w:sz w:val="28"/>
                <w:szCs w:val="28"/>
              </w:rPr>
            </w:pPr>
            <w:r>
              <w:rPr>
                <w:rFonts w:ascii="Times New Roman" w:hAnsi="Times New Roman" w:eastAsia="黑体"/>
                <w:sz w:val="28"/>
                <w:szCs w:val="28"/>
              </w:rPr>
              <w:t>危险的分类</w:t>
            </w:r>
          </w:p>
        </w:tc>
        <w:tc>
          <w:tcPr>
            <w:tcW w:w="2956" w:type="dxa"/>
            <w:noWrap w:val="0"/>
            <w:vAlign w:val="center"/>
          </w:tcPr>
          <w:p w14:paraId="7A173240">
            <w:pPr>
              <w:spacing w:line="400" w:lineRule="exact"/>
              <w:jc w:val="center"/>
              <w:rPr>
                <w:rFonts w:ascii="Times New Roman" w:hAnsi="Times New Roman" w:eastAsia="黑体"/>
                <w:sz w:val="28"/>
                <w:szCs w:val="28"/>
              </w:rPr>
            </w:pPr>
            <w:r>
              <w:rPr>
                <w:rFonts w:ascii="Times New Roman" w:hAnsi="Times New Roman" w:eastAsia="黑体"/>
                <w:sz w:val="28"/>
                <w:szCs w:val="28"/>
              </w:rPr>
              <w:t>危险的形成因素</w:t>
            </w:r>
          </w:p>
        </w:tc>
        <w:tc>
          <w:tcPr>
            <w:tcW w:w="3789" w:type="dxa"/>
            <w:noWrap w:val="0"/>
            <w:vAlign w:val="center"/>
          </w:tcPr>
          <w:p w14:paraId="63996448">
            <w:pPr>
              <w:spacing w:line="400" w:lineRule="exact"/>
              <w:jc w:val="center"/>
              <w:rPr>
                <w:rFonts w:ascii="Times New Roman" w:hAnsi="Times New Roman" w:eastAsia="黑体"/>
                <w:sz w:val="28"/>
                <w:szCs w:val="28"/>
              </w:rPr>
            </w:pPr>
            <w:r>
              <w:rPr>
                <w:rFonts w:ascii="Times New Roman" w:hAnsi="Times New Roman" w:eastAsia="黑体"/>
                <w:sz w:val="28"/>
                <w:szCs w:val="28"/>
              </w:rPr>
              <w:t>可能的后果</w:t>
            </w:r>
          </w:p>
        </w:tc>
      </w:tr>
      <w:tr w14:paraId="129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701" w:hRule="atLeast"/>
          <w:jc w:val="center"/>
        </w:trPr>
        <w:tc>
          <w:tcPr>
            <w:tcW w:w="871" w:type="dxa"/>
            <w:vMerge w:val="restart"/>
            <w:noWrap w:val="0"/>
            <w:vAlign w:val="center"/>
          </w:tcPr>
          <w:p w14:paraId="3D0D1E74">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生物学危险</w:t>
            </w:r>
          </w:p>
          <w:p w14:paraId="27DC503F">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245F5DE0">
            <w:pPr>
              <w:spacing w:line="400" w:lineRule="exact"/>
              <w:rPr>
                <w:rFonts w:ascii="Times New Roman" w:hAnsi="Times New Roman" w:eastAsia="仿宋_GB2312"/>
                <w:sz w:val="28"/>
                <w:szCs w:val="28"/>
              </w:rPr>
            </w:pPr>
            <w:r>
              <w:rPr>
                <w:rFonts w:ascii="Times New Roman" w:hAnsi="Times New Roman" w:eastAsia="仿宋_GB2312"/>
                <w:sz w:val="28"/>
                <w:szCs w:val="28"/>
              </w:rPr>
              <w:t>生物污染</w:t>
            </w:r>
          </w:p>
        </w:tc>
        <w:tc>
          <w:tcPr>
            <w:tcW w:w="2956" w:type="dxa"/>
            <w:noWrap w:val="0"/>
            <w:vAlign w:val="center"/>
          </w:tcPr>
          <w:p w14:paraId="0891B30D">
            <w:pPr>
              <w:spacing w:line="400" w:lineRule="exact"/>
              <w:rPr>
                <w:rFonts w:ascii="Times New Roman" w:hAnsi="Times New Roman" w:eastAsia="仿宋_GB2312"/>
                <w:sz w:val="28"/>
                <w:szCs w:val="28"/>
              </w:rPr>
            </w:pPr>
            <w:r>
              <w:rPr>
                <w:rFonts w:ascii="Times New Roman" w:hAnsi="Times New Roman" w:eastAsia="仿宋_GB2312"/>
                <w:sz w:val="28"/>
                <w:szCs w:val="28"/>
              </w:rPr>
              <w:t>生产环境控制不好、灭菌操作不严格、包装破损、使用时未按照无菌操作技术操作</w:t>
            </w:r>
          </w:p>
        </w:tc>
        <w:tc>
          <w:tcPr>
            <w:tcW w:w="3789" w:type="dxa"/>
            <w:noWrap w:val="0"/>
            <w:vAlign w:val="center"/>
          </w:tcPr>
          <w:p w14:paraId="4D7CCCDF">
            <w:pPr>
              <w:spacing w:line="400" w:lineRule="exact"/>
              <w:rPr>
                <w:rFonts w:ascii="Times New Roman" w:hAnsi="Times New Roman" w:eastAsia="仿宋_GB2312"/>
                <w:sz w:val="28"/>
                <w:szCs w:val="28"/>
              </w:rPr>
            </w:pPr>
            <w:r>
              <w:rPr>
                <w:rFonts w:ascii="Times New Roman" w:hAnsi="Times New Roman" w:eastAsia="仿宋_GB2312"/>
                <w:sz w:val="28"/>
                <w:szCs w:val="28"/>
              </w:rPr>
              <w:t>产品带菌，引起患者气道或者肺部感染</w:t>
            </w:r>
          </w:p>
        </w:tc>
      </w:tr>
      <w:tr w14:paraId="4F36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154" w:hRule="atLeast"/>
          <w:jc w:val="center"/>
        </w:trPr>
        <w:tc>
          <w:tcPr>
            <w:tcW w:w="871" w:type="dxa"/>
            <w:vMerge w:val="continue"/>
            <w:noWrap w:val="0"/>
            <w:vAlign w:val="center"/>
          </w:tcPr>
          <w:p w14:paraId="4F39A85F">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4155C4D0">
            <w:pPr>
              <w:spacing w:line="400" w:lineRule="exact"/>
              <w:rPr>
                <w:rFonts w:ascii="Times New Roman" w:hAnsi="Times New Roman" w:eastAsia="仿宋_GB2312"/>
                <w:sz w:val="28"/>
                <w:szCs w:val="28"/>
              </w:rPr>
            </w:pPr>
            <w:r>
              <w:rPr>
                <w:rFonts w:ascii="Times New Roman" w:hAnsi="Times New Roman" w:eastAsia="仿宋_GB2312"/>
                <w:sz w:val="28"/>
                <w:szCs w:val="28"/>
              </w:rPr>
              <w:t>生物不相容性</w:t>
            </w:r>
          </w:p>
        </w:tc>
        <w:tc>
          <w:tcPr>
            <w:tcW w:w="2956" w:type="dxa"/>
            <w:noWrap w:val="0"/>
            <w:vAlign w:val="center"/>
          </w:tcPr>
          <w:p w14:paraId="133751A6">
            <w:pPr>
              <w:spacing w:line="400" w:lineRule="exact"/>
              <w:rPr>
                <w:rFonts w:ascii="Times New Roman" w:hAnsi="Times New Roman" w:eastAsia="仿宋_GB2312"/>
                <w:sz w:val="28"/>
                <w:szCs w:val="28"/>
              </w:rPr>
            </w:pPr>
            <w:r>
              <w:rPr>
                <w:rFonts w:ascii="Times New Roman" w:hAnsi="Times New Roman" w:eastAsia="仿宋_GB2312"/>
                <w:bCs/>
                <w:sz w:val="28"/>
                <w:szCs w:val="28"/>
              </w:rPr>
              <w:t>采用不合格的原辅材料、</w:t>
            </w:r>
            <w:r>
              <w:rPr>
                <w:rFonts w:ascii="Times New Roman" w:hAnsi="Times New Roman" w:eastAsia="仿宋_GB2312"/>
                <w:sz w:val="28"/>
                <w:szCs w:val="28"/>
              </w:rPr>
              <w:t>原材料为聚氯乙烯的增塑剂DEHP超标、其他加工助剂残留、成品环氧乙烷残留</w:t>
            </w:r>
          </w:p>
        </w:tc>
        <w:tc>
          <w:tcPr>
            <w:tcW w:w="3789" w:type="dxa"/>
            <w:noWrap w:val="0"/>
            <w:vAlign w:val="center"/>
          </w:tcPr>
          <w:p w14:paraId="0DCD74B0">
            <w:pPr>
              <w:spacing w:line="400" w:lineRule="exact"/>
              <w:rPr>
                <w:rFonts w:ascii="Times New Roman" w:hAnsi="Times New Roman" w:eastAsia="仿宋_GB2312"/>
                <w:sz w:val="28"/>
                <w:szCs w:val="28"/>
              </w:rPr>
            </w:pPr>
            <w:r>
              <w:rPr>
                <w:rFonts w:ascii="Times New Roman" w:hAnsi="Times New Roman" w:eastAsia="仿宋_GB2312"/>
                <w:sz w:val="28"/>
                <w:szCs w:val="28"/>
              </w:rPr>
              <w:t>毒性或刺激反应</w:t>
            </w:r>
          </w:p>
        </w:tc>
      </w:tr>
      <w:tr w14:paraId="7708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120" w:hRule="atLeast"/>
          <w:jc w:val="center"/>
        </w:trPr>
        <w:tc>
          <w:tcPr>
            <w:tcW w:w="871" w:type="dxa"/>
            <w:vMerge w:val="continue"/>
            <w:noWrap w:val="0"/>
            <w:vAlign w:val="center"/>
          </w:tcPr>
          <w:p w14:paraId="64E02E5B">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19C83FD7">
            <w:pPr>
              <w:spacing w:line="400" w:lineRule="exact"/>
              <w:rPr>
                <w:rFonts w:ascii="Times New Roman" w:hAnsi="Times New Roman" w:eastAsia="仿宋_GB2312"/>
                <w:sz w:val="28"/>
                <w:szCs w:val="28"/>
              </w:rPr>
            </w:pPr>
            <w:r>
              <w:rPr>
                <w:rFonts w:ascii="Times New Roman" w:hAnsi="Times New Roman" w:eastAsia="仿宋_GB2312"/>
                <w:sz w:val="28"/>
                <w:szCs w:val="28"/>
              </w:rPr>
              <w:t>不正确的配方</w:t>
            </w:r>
          </w:p>
        </w:tc>
        <w:tc>
          <w:tcPr>
            <w:tcW w:w="2956" w:type="dxa"/>
            <w:noWrap w:val="0"/>
            <w:vAlign w:val="center"/>
          </w:tcPr>
          <w:p w14:paraId="701281B7">
            <w:pPr>
              <w:spacing w:line="400" w:lineRule="exact"/>
              <w:rPr>
                <w:rFonts w:ascii="Times New Roman" w:hAnsi="Times New Roman" w:eastAsia="仿宋_GB2312"/>
                <w:sz w:val="28"/>
                <w:szCs w:val="28"/>
              </w:rPr>
            </w:pPr>
            <w:r>
              <w:rPr>
                <w:rFonts w:ascii="Times New Roman" w:hAnsi="Times New Roman" w:eastAsia="仿宋_GB2312"/>
                <w:sz w:val="28"/>
                <w:szCs w:val="28"/>
              </w:rPr>
              <w:t>未按照工艺要求配料，添加剂或助剂使用比例不当</w:t>
            </w:r>
          </w:p>
        </w:tc>
        <w:tc>
          <w:tcPr>
            <w:tcW w:w="3789" w:type="dxa"/>
            <w:noWrap w:val="0"/>
            <w:vAlign w:val="center"/>
          </w:tcPr>
          <w:p w14:paraId="1226CB07">
            <w:pPr>
              <w:spacing w:line="400" w:lineRule="exact"/>
              <w:rPr>
                <w:rFonts w:ascii="Times New Roman" w:hAnsi="Times New Roman" w:eastAsia="仿宋_GB2312"/>
                <w:sz w:val="28"/>
                <w:szCs w:val="28"/>
              </w:rPr>
            </w:pPr>
            <w:r>
              <w:rPr>
                <w:rFonts w:ascii="Times New Roman" w:hAnsi="Times New Roman" w:eastAsia="仿宋_GB2312"/>
                <w:sz w:val="28"/>
                <w:szCs w:val="28"/>
              </w:rPr>
              <w:t>造成毒性危险</w:t>
            </w:r>
          </w:p>
        </w:tc>
      </w:tr>
      <w:tr w14:paraId="00AD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0" w:hRule="atLeast"/>
          <w:jc w:val="center"/>
        </w:trPr>
        <w:tc>
          <w:tcPr>
            <w:tcW w:w="871" w:type="dxa"/>
            <w:vMerge w:val="restart"/>
            <w:noWrap w:val="0"/>
            <w:vAlign w:val="center"/>
          </w:tcPr>
          <w:p w14:paraId="4A38F91B">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环境危险</w:t>
            </w:r>
          </w:p>
        </w:tc>
        <w:tc>
          <w:tcPr>
            <w:tcW w:w="1438" w:type="dxa"/>
            <w:noWrap w:val="0"/>
            <w:vAlign w:val="center"/>
          </w:tcPr>
          <w:p w14:paraId="2900C79B">
            <w:pPr>
              <w:spacing w:line="400" w:lineRule="exact"/>
              <w:rPr>
                <w:rFonts w:ascii="Times New Roman" w:hAnsi="Times New Roman" w:eastAsia="仿宋_GB2312"/>
                <w:sz w:val="28"/>
                <w:szCs w:val="28"/>
              </w:rPr>
            </w:pPr>
            <w:r>
              <w:rPr>
                <w:rFonts w:ascii="Times New Roman" w:hAnsi="Times New Roman" w:eastAsia="仿宋_GB2312"/>
                <w:sz w:val="28"/>
                <w:szCs w:val="28"/>
              </w:rPr>
              <w:t>储运不当</w:t>
            </w:r>
          </w:p>
        </w:tc>
        <w:tc>
          <w:tcPr>
            <w:tcW w:w="2956" w:type="dxa"/>
            <w:noWrap w:val="0"/>
            <w:vAlign w:val="center"/>
          </w:tcPr>
          <w:p w14:paraId="6C26A233">
            <w:pPr>
              <w:spacing w:line="400" w:lineRule="exact"/>
              <w:rPr>
                <w:rFonts w:ascii="Times New Roman" w:hAnsi="Times New Roman" w:eastAsia="仿宋_GB2312"/>
                <w:sz w:val="28"/>
                <w:szCs w:val="28"/>
              </w:rPr>
            </w:pPr>
            <w:r>
              <w:rPr>
                <w:rFonts w:ascii="Times New Roman" w:hAnsi="Times New Roman" w:eastAsia="仿宋_GB2312"/>
                <w:sz w:val="28"/>
                <w:szCs w:val="28"/>
              </w:rPr>
              <w:t>储运条件（如温度、湿度）不符合要求</w:t>
            </w:r>
          </w:p>
        </w:tc>
        <w:tc>
          <w:tcPr>
            <w:tcW w:w="3789" w:type="dxa"/>
            <w:noWrap w:val="0"/>
            <w:vAlign w:val="center"/>
          </w:tcPr>
          <w:p w14:paraId="551156FF">
            <w:pPr>
              <w:spacing w:line="400" w:lineRule="exact"/>
              <w:rPr>
                <w:rFonts w:ascii="Times New Roman" w:hAnsi="Times New Roman" w:eastAsia="仿宋_GB2312"/>
                <w:sz w:val="28"/>
                <w:szCs w:val="28"/>
              </w:rPr>
            </w:pPr>
            <w:r>
              <w:rPr>
                <w:rFonts w:ascii="Times New Roman" w:hAnsi="Times New Roman" w:eastAsia="仿宋_GB2312"/>
                <w:sz w:val="28"/>
                <w:szCs w:val="28"/>
              </w:rPr>
              <w:t>产品无菌屏障损坏或有效期缩短</w:t>
            </w:r>
          </w:p>
        </w:tc>
      </w:tr>
      <w:tr w14:paraId="33B1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0" w:hRule="atLeast"/>
          <w:jc w:val="center"/>
        </w:trPr>
        <w:tc>
          <w:tcPr>
            <w:tcW w:w="871" w:type="dxa"/>
            <w:vMerge w:val="continue"/>
            <w:noWrap w:val="0"/>
            <w:vAlign w:val="center"/>
          </w:tcPr>
          <w:p w14:paraId="09D2C5F5">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3D6A68CB">
            <w:pPr>
              <w:spacing w:line="400" w:lineRule="exact"/>
              <w:rPr>
                <w:rFonts w:ascii="Times New Roman" w:hAnsi="Times New Roman" w:eastAsia="仿宋_GB2312"/>
                <w:sz w:val="28"/>
                <w:szCs w:val="28"/>
              </w:rPr>
            </w:pPr>
            <w:r>
              <w:rPr>
                <w:rFonts w:ascii="Times New Roman" w:hAnsi="Times New Roman" w:eastAsia="仿宋_GB2312"/>
                <w:sz w:val="28"/>
                <w:szCs w:val="28"/>
              </w:rPr>
              <w:t>意外的机械破坏</w:t>
            </w:r>
          </w:p>
        </w:tc>
        <w:tc>
          <w:tcPr>
            <w:tcW w:w="2956" w:type="dxa"/>
            <w:noWrap w:val="0"/>
            <w:vAlign w:val="center"/>
          </w:tcPr>
          <w:p w14:paraId="63F0D954">
            <w:pPr>
              <w:spacing w:line="400" w:lineRule="exact"/>
              <w:rPr>
                <w:rFonts w:ascii="Times New Roman" w:hAnsi="Times New Roman" w:eastAsia="仿宋_GB2312"/>
                <w:sz w:val="28"/>
                <w:szCs w:val="28"/>
              </w:rPr>
            </w:pPr>
            <w:r>
              <w:rPr>
                <w:rFonts w:ascii="Times New Roman" w:hAnsi="Times New Roman" w:eastAsia="仿宋_GB2312"/>
                <w:sz w:val="28"/>
                <w:szCs w:val="28"/>
              </w:rPr>
              <w:t>储运、使用过程中发生意外的机械性破坏</w:t>
            </w:r>
          </w:p>
        </w:tc>
        <w:tc>
          <w:tcPr>
            <w:tcW w:w="3789" w:type="dxa"/>
            <w:noWrap w:val="0"/>
            <w:vAlign w:val="center"/>
          </w:tcPr>
          <w:p w14:paraId="273BE4DB">
            <w:pPr>
              <w:spacing w:line="400" w:lineRule="exact"/>
              <w:rPr>
                <w:rFonts w:ascii="Times New Roman" w:hAnsi="Times New Roman" w:eastAsia="仿宋_GB2312"/>
                <w:sz w:val="28"/>
                <w:szCs w:val="28"/>
              </w:rPr>
            </w:pPr>
            <w:r>
              <w:rPr>
                <w:rFonts w:ascii="Times New Roman" w:hAnsi="Times New Roman" w:eastAsia="仿宋_GB2312"/>
                <w:sz w:val="28"/>
                <w:szCs w:val="28"/>
              </w:rPr>
              <w:t>产品染菌或使用性能无法得到保证</w:t>
            </w:r>
          </w:p>
        </w:tc>
      </w:tr>
      <w:tr w14:paraId="44BF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551" w:hRule="atLeast"/>
          <w:jc w:val="center"/>
        </w:trPr>
        <w:tc>
          <w:tcPr>
            <w:tcW w:w="871" w:type="dxa"/>
            <w:vMerge w:val="continue"/>
            <w:noWrap w:val="0"/>
            <w:vAlign w:val="center"/>
          </w:tcPr>
          <w:p w14:paraId="4C62B810">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2D0CAE26">
            <w:pPr>
              <w:spacing w:line="400" w:lineRule="exact"/>
              <w:rPr>
                <w:rFonts w:ascii="Times New Roman" w:hAnsi="Times New Roman" w:eastAsia="仿宋_GB2312"/>
                <w:sz w:val="28"/>
                <w:szCs w:val="28"/>
              </w:rPr>
            </w:pPr>
            <w:r>
              <w:rPr>
                <w:rFonts w:ascii="Times New Roman" w:hAnsi="Times New Roman" w:eastAsia="仿宋_GB2312"/>
                <w:sz w:val="28"/>
                <w:szCs w:val="28"/>
              </w:rPr>
              <w:t>由于废物和（或）医疗器械处置的污染</w:t>
            </w:r>
          </w:p>
        </w:tc>
        <w:tc>
          <w:tcPr>
            <w:tcW w:w="2956" w:type="dxa"/>
            <w:noWrap w:val="0"/>
            <w:vAlign w:val="center"/>
          </w:tcPr>
          <w:p w14:paraId="761B6758">
            <w:pPr>
              <w:spacing w:line="400" w:lineRule="exact"/>
              <w:rPr>
                <w:rFonts w:ascii="Times New Roman" w:hAnsi="Times New Roman" w:eastAsia="仿宋_GB2312"/>
                <w:sz w:val="28"/>
                <w:szCs w:val="28"/>
              </w:rPr>
            </w:pPr>
            <w:r>
              <w:rPr>
                <w:rFonts w:ascii="Times New Roman" w:hAnsi="Times New Roman" w:eastAsia="仿宋_GB2312"/>
                <w:sz w:val="28"/>
                <w:szCs w:val="28"/>
              </w:rPr>
              <w:t>使用后的产品没有按照要求集中销毁</w:t>
            </w:r>
          </w:p>
        </w:tc>
        <w:tc>
          <w:tcPr>
            <w:tcW w:w="3789" w:type="dxa"/>
            <w:noWrap w:val="0"/>
            <w:vAlign w:val="center"/>
          </w:tcPr>
          <w:p w14:paraId="438C4710">
            <w:pPr>
              <w:spacing w:line="400" w:lineRule="exact"/>
              <w:rPr>
                <w:rFonts w:ascii="Times New Roman" w:hAnsi="Times New Roman" w:eastAsia="仿宋_GB2312"/>
                <w:sz w:val="28"/>
                <w:szCs w:val="28"/>
              </w:rPr>
            </w:pPr>
            <w:r>
              <w:rPr>
                <w:rFonts w:ascii="Times New Roman" w:hAnsi="Times New Roman" w:eastAsia="仿宋_GB2312"/>
                <w:sz w:val="28"/>
                <w:szCs w:val="28"/>
              </w:rPr>
              <w:t>造成医院环境污染</w:t>
            </w:r>
          </w:p>
        </w:tc>
      </w:tr>
      <w:tr w14:paraId="1982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937" w:hRule="atLeast"/>
          <w:jc w:val="center"/>
        </w:trPr>
        <w:tc>
          <w:tcPr>
            <w:tcW w:w="871" w:type="dxa"/>
            <w:vMerge w:val="restart"/>
            <w:noWrap w:val="0"/>
            <w:vAlign w:val="center"/>
          </w:tcPr>
          <w:p w14:paraId="09D5DE30">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与医疗器械使用有关的危险</w:t>
            </w:r>
          </w:p>
          <w:p w14:paraId="14F9B517">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0505AD43">
            <w:pPr>
              <w:spacing w:line="400" w:lineRule="exact"/>
              <w:rPr>
                <w:rFonts w:ascii="Times New Roman" w:hAnsi="Times New Roman" w:eastAsia="仿宋_GB2312"/>
                <w:sz w:val="28"/>
                <w:szCs w:val="28"/>
              </w:rPr>
            </w:pPr>
            <w:r>
              <w:rPr>
                <w:rFonts w:ascii="Times New Roman" w:hAnsi="Times New Roman" w:eastAsia="仿宋_GB2312"/>
                <w:sz w:val="28"/>
                <w:szCs w:val="28"/>
              </w:rPr>
              <w:t>不适当的标记</w:t>
            </w:r>
          </w:p>
        </w:tc>
        <w:tc>
          <w:tcPr>
            <w:tcW w:w="2956" w:type="dxa"/>
            <w:noWrap w:val="0"/>
            <w:vAlign w:val="center"/>
          </w:tcPr>
          <w:p w14:paraId="57C2AB2C">
            <w:pPr>
              <w:spacing w:line="400" w:lineRule="exact"/>
              <w:rPr>
                <w:rFonts w:ascii="Times New Roman" w:hAnsi="Times New Roman" w:eastAsia="仿宋_GB2312"/>
                <w:sz w:val="28"/>
                <w:szCs w:val="28"/>
              </w:rPr>
            </w:pPr>
            <w:r>
              <w:rPr>
                <w:rFonts w:ascii="Times New Roman" w:hAnsi="Times New Roman" w:eastAsia="仿宋_GB2312"/>
                <w:sz w:val="28"/>
                <w:szCs w:val="28"/>
              </w:rPr>
              <w:t>标记不清晰、错误、没有按照要求进行标记</w:t>
            </w:r>
          </w:p>
        </w:tc>
        <w:tc>
          <w:tcPr>
            <w:tcW w:w="3789" w:type="dxa"/>
            <w:noWrap w:val="0"/>
            <w:vAlign w:val="center"/>
          </w:tcPr>
          <w:p w14:paraId="236A8E4F">
            <w:pPr>
              <w:spacing w:line="400" w:lineRule="exact"/>
              <w:rPr>
                <w:rFonts w:ascii="Times New Roman" w:hAnsi="Times New Roman" w:eastAsia="仿宋_GB2312"/>
                <w:sz w:val="28"/>
                <w:szCs w:val="28"/>
              </w:rPr>
            </w:pPr>
            <w:r>
              <w:rPr>
                <w:rFonts w:ascii="Times New Roman" w:hAnsi="Times New Roman" w:eastAsia="仿宋_GB2312"/>
                <w:sz w:val="28"/>
                <w:szCs w:val="28"/>
              </w:rPr>
              <w:t>错误使用，重复使用，辨别错误</w:t>
            </w:r>
          </w:p>
        </w:tc>
      </w:tr>
      <w:tr w14:paraId="4D91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1" w:type="dxa"/>
            <w:vMerge w:val="continue"/>
            <w:noWrap w:val="0"/>
            <w:vAlign w:val="center"/>
          </w:tcPr>
          <w:p w14:paraId="03636813">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105D3AC9">
            <w:pPr>
              <w:spacing w:line="400" w:lineRule="exact"/>
              <w:rPr>
                <w:rFonts w:ascii="Times New Roman" w:hAnsi="Times New Roman" w:eastAsia="仿宋_GB2312"/>
                <w:sz w:val="28"/>
                <w:szCs w:val="28"/>
              </w:rPr>
            </w:pPr>
            <w:r>
              <w:rPr>
                <w:rFonts w:ascii="Times New Roman" w:hAnsi="Times New Roman" w:eastAsia="仿宋_GB2312"/>
                <w:sz w:val="28"/>
                <w:szCs w:val="28"/>
              </w:rPr>
              <w:t>不适当的操作说明</w:t>
            </w:r>
          </w:p>
        </w:tc>
        <w:tc>
          <w:tcPr>
            <w:tcW w:w="2956" w:type="dxa"/>
            <w:noWrap w:val="0"/>
            <w:vAlign w:val="center"/>
          </w:tcPr>
          <w:p w14:paraId="775CFDB5">
            <w:pPr>
              <w:spacing w:line="400" w:lineRule="exact"/>
              <w:rPr>
                <w:rFonts w:hint="eastAsia" w:ascii="Times New Roman" w:hAnsi="Times New Roman" w:eastAsia="仿宋_GB2312"/>
                <w:sz w:val="28"/>
                <w:szCs w:val="28"/>
              </w:rPr>
            </w:pPr>
            <w:r>
              <w:rPr>
                <w:rFonts w:ascii="Times New Roman" w:hAnsi="Times New Roman" w:eastAsia="仿宋_GB2312"/>
                <w:sz w:val="28"/>
                <w:szCs w:val="28"/>
              </w:rPr>
              <w:t>操作要点不突出</w:t>
            </w:r>
            <w:r>
              <w:rPr>
                <w:rFonts w:hint="eastAsia" w:ascii="Times New Roman" w:hAnsi="Times New Roman" w:eastAsia="仿宋_GB2312"/>
                <w:sz w:val="28"/>
                <w:szCs w:val="28"/>
              </w:rPr>
              <w:t>，</w:t>
            </w:r>
            <w:r>
              <w:rPr>
                <w:rFonts w:ascii="Times New Roman" w:hAnsi="Times New Roman" w:eastAsia="仿宋_GB2312"/>
                <w:sz w:val="28"/>
                <w:szCs w:val="28"/>
              </w:rPr>
              <w:t>无法识别；由不熟练/未经培训的人员使用；拔管操作不规范</w:t>
            </w:r>
          </w:p>
        </w:tc>
        <w:tc>
          <w:tcPr>
            <w:tcW w:w="3789" w:type="dxa"/>
            <w:noWrap w:val="0"/>
            <w:vAlign w:val="center"/>
          </w:tcPr>
          <w:p w14:paraId="01A9EBBA">
            <w:pPr>
              <w:spacing w:line="400" w:lineRule="exact"/>
              <w:rPr>
                <w:rFonts w:ascii="Times New Roman" w:hAnsi="Times New Roman" w:eastAsia="仿宋_GB2312"/>
                <w:sz w:val="28"/>
                <w:szCs w:val="28"/>
              </w:rPr>
            </w:pPr>
            <w:r>
              <w:rPr>
                <w:rFonts w:ascii="Times New Roman" w:hAnsi="Times New Roman" w:eastAsia="仿宋_GB2312"/>
                <w:sz w:val="28"/>
                <w:szCs w:val="28"/>
              </w:rPr>
              <w:t>造成气道粘膜摩擦性损伤；气管插管误插入食管，</w:t>
            </w:r>
            <w:r>
              <w:rPr>
                <w:rFonts w:ascii="Times New Roman" w:hAnsi="Times New Roman" w:eastAsia="仿宋_GB2312"/>
                <w:sz w:val="28"/>
                <w:szCs w:val="28"/>
                <w:lang w:eastAsia="zh-Hans"/>
              </w:rPr>
              <w:t>导致胃内容物吸入、高碳酸血症和死亡</w:t>
            </w:r>
            <w:r>
              <w:rPr>
                <w:rFonts w:ascii="Times New Roman" w:hAnsi="Times New Roman" w:eastAsia="仿宋_GB2312"/>
                <w:sz w:val="28"/>
                <w:szCs w:val="28"/>
              </w:rPr>
              <w:t>；插管时间过长，造成咽喉部水肿、出血、加重通气困难，导致严重缺氧和高碳酸血症，致使插管失败出现喉头水肿或痉挛、以及声门水肿</w:t>
            </w:r>
          </w:p>
        </w:tc>
      </w:tr>
      <w:tr w14:paraId="67DC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1" w:type="dxa"/>
            <w:vMerge w:val="continue"/>
            <w:noWrap w:val="0"/>
            <w:vAlign w:val="center"/>
          </w:tcPr>
          <w:p w14:paraId="62EBDBE5">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79B63DC6">
            <w:pPr>
              <w:spacing w:line="400" w:lineRule="exact"/>
              <w:rPr>
                <w:rFonts w:ascii="Times New Roman" w:hAnsi="Times New Roman" w:eastAsia="仿宋_GB2312"/>
                <w:sz w:val="28"/>
                <w:szCs w:val="28"/>
              </w:rPr>
            </w:pPr>
            <w:r>
              <w:rPr>
                <w:rFonts w:ascii="Times New Roman" w:hAnsi="Times New Roman" w:eastAsia="仿宋_GB2312"/>
                <w:sz w:val="28"/>
                <w:szCs w:val="28"/>
              </w:rPr>
              <w:t>合理可预见的误用</w:t>
            </w:r>
          </w:p>
        </w:tc>
        <w:tc>
          <w:tcPr>
            <w:tcW w:w="2956" w:type="dxa"/>
            <w:noWrap w:val="0"/>
            <w:vAlign w:val="center"/>
          </w:tcPr>
          <w:p w14:paraId="007CCE19">
            <w:pPr>
              <w:spacing w:line="400" w:lineRule="exact"/>
              <w:rPr>
                <w:rFonts w:hint="eastAsia" w:ascii="Times New Roman" w:hAnsi="Times New Roman" w:eastAsia="仿宋_GB2312"/>
                <w:sz w:val="28"/>
                <w:szCs w:val="28"/>
              </w:rPr>
            </w:pPr>
            <w:r>
              <w:rPr>
                <w:rFonts w:ascii="Times New Roman" w:hAnsi="Times New Roman" w:eastAsia="仿宋_GB2312"/>
                <w:sz w:val="28"/>
                <w:szCs w:val="28"/>
              </w:rPr>
              <w:t>规格型号选用错误</w:t>
            </w:r>
          </w:p>
        </w:tc>
        <w:tc>
          <w:tcPr>
            <w:tcW w:w="3789" w:type="dxa"/>
            <w:noWrap w:val="0"/>
            <w:vAlign w:val="center"/>
          </w:tcPr>
          <w:p w14:paraId="6977B307">
            <w:pPr>
              <w:spacing w:line="400" w:lineRule="exact"/>
              <w:rPr>
                <w:rFonts w:ascii="Times New Roman" w:hAnsi="Times New Roman" w:eastAsia="仿宋_GB2312"/>
                <w:sz w:val="28"/>
                <w:szCs w:val="28"/>
              </w:rPr>
            </w:pPr>
            <w:r>
              <w:rPr>
                <w:rFonts w:ascii="Times New Roman" w:hAnsi="Times New Roman" w:eastAsia="仿宋_GB2312"/>
                <w:sz w:val="28"/>
                <w:szCs w:val="28"/>
              </w:rPr>
              <w:t>导致无法达到满意的通气效果</w:t>
            </w:r>
          </w:p>
        </w:tc>
      </w:tr>
      <w:tr w14:paraId="3CF8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1" w:type="dxa"/>
            <w:vMerge w:val="continue"/>
            <w:noWrap w:val="0"/>
            <w:vAlign w:val="center"/>
          </w:tcPr>
          <w:p w14:paraId="51D01043">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66E72EA4">
            <w:pPr>
              <w:spacing w:line="400" w:lineRule="exact"/>
              <w:rPr>
                <w:rFonts w:ascii="Times New Roman" w:hAnsi="Times New Roman" w:eastAsia="仿宋_GB2312"/>
                <w:sz w:val="28"/>
                <w:szCs w:val="28"/>
              </w:rPr>
            </w:pPr>
            <w:r>
              <w:rPr>
                <w:rFonts w:ascii="Times New Roman" w:hAnsi="Times New Roman" w:eastAsia="仿宋_GB2312"/>
                <w:sz w:val="28"/>
                <w:szCs w:val="28"/>
              </w:rPr>
              <w:t>对副作用的警告不充分</w:t>
            </w:r>
          </w:p>
        </w:tc>
        <w:tc>
          <w:tcPr>
            <w:tcW w:w="2956" w:type="dxa"/>
            <w:noWrap w:val="0"/>
            <w:vAlign w:val="center"/>
          </w:tcPr>
          <w:p w14:paraId="31B62EF7">
            <w:pPr>
              <w:spacing w:line="400" w:lineRule="exact"/>
              <w:rPr>
                <w:rFonts w:ascii="Times New Roman" w:hAnsi="Times New Roman" w:eastAsia="仿宋_GB2312"/>
                <w:sz w:val="28"/>
                <w:szCs w:val="28"/>
              </w:rPr>
            </w:pPr>
            <w:r>
              <w:rPr>
                <w:rFonts w:ascii="Times New Roman" w:hAnsi="Times New Roman" w:eastAsia="仿宋_GB2312"/>
                <w:sz w:val="28"/>
                <w:szCs w:val="28"/>
              </w:rPr>
              <w:t>对操作人员警示不足</w:t>
            </w:r>
          </w:p>
        </w:tc>
        <w:tc>
          <w:tcPr>
            <w:tcW w:w="3789" w:type="dxa"/>
            <w:noWrap w:val="0"/>
            <w:vAlign w:val="center"/>
          </w:tcPr>
          <w:p w14:paraId="647D4A1C">
            <w:pPr>
              <w:spacing w:line="400" w:lineRule="exact"/>
              <w:rPr>
                <w:rFonts w:ascii="Times New Roman" w:hAnsi="Times New Roman" w:eastAsia="仿宋_GB2312"/>
                <w:sz w:val="28"/>
                <w:szCs w:val="28"/>
              </w:rPr>
            </w:pPr>
            <w:r>
              <w:rPr>
                <w:rFonts w:ascii="Times New Roman" w:hAnsi="Times New Roman" w:eastAsia="仿宋_GB2312"/>
                <w:sz w:val="28"/>
                <w:szCs w:val="28"/>
              </w:rPr>
              <w:t>患者出现过敏、刺激反应</w:t>
            </w:r>
          </w:p>
        </w:tc>
      </w:tr>
      <w:tr w14:paraId="17E5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1" w:type="dxa"/>
            <w:vMerge w:val="continue"/>
            <w:noWrap w:val="0"/>
            <w:vAlign w:val="center"/>
          </w:tcPr>
          <w:p w14:paraId="59206A9E">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21477ACF">
            <w:pPr>
              <w:spacing w:line="400" w:lineRule="exact"/>
              <w:rPr>
                <w:rFonts w:hint="eastAsia" w:ascii="Tahoma" w:hAnsi="Tahoma" w:eastAsia="微软雅黑"/>
                <w:sz w:val="22"/>
                <w:szCs w:val="22"/>
              </w:rPr>
            </w:pPr>
            <w:r>
              <w:rPr>
                <w:rFonts w:ascii="Times New Roman" w:hAnsi="Times New Roman" w:eastAsia="仿宋_GB2312"/>
                <w:sz w:val="28"/>
                <w:szCs w:val="28"/>
              </w:rPr>
              <w:t>对一次性使用医疗器械很可能再次使用的危险警告不适当</w:t>
            </w:r>
          </w:p>
        </w:tc>
        <w:tc>
          <w:tcPr>
            <w:tcW w:w="2956" w:type="dxa"/>
            <w:noWrap w:val="0"/>
            <w:vAlign w:val="center"/>
          </w:tcPr>
          <w:p w14:paraId="034E8683">
            <w:pPr>
              <w:spacing w:line="400" w:lineRule="exact"/>
              <w:rPr>
                <w:rFonts w:hint="eastAsia" w:ascii="Times New Roman" w:hAnsi="Times New Roman" w:eastAsia="仿宋_GB2312"/>
                <w:sz w:val="28"/>
                <w:szCs w:val="28"/>
              </w:rPr>
            </w:pPr>
            <w:r>
              <w:rPr>
                <w:rFonts w:ascii="Times New Roman" w:hAnsi="Times New Roman" w:eastAsia="仿宋_GB2312"/>
                <w:sz w:val="28"/>
                <w:szCs w:val="28"/>
              </w:rPr>
              <w:t>重复使用</w:t>
            </w:r>
          </w:p>
        </w:tc>
        <w:tc>
          <w:tcPr>
            <w:tcW w:w="3789" w:type="dxa"/>
            <w:noWrap w:val="0"/>
            <w:vAlign w:val="center"/>
          </w:tcPr>
          <w:p w14:paraId="501AF3CE">
            <w:pPr>
              <w:spacing w:line="400" w:lineRule="exact"/>
              <w:rPr>
                <w:rFonts w:ascii="Times New Roman" w:hAnsi="Times New Roman" w:eastAsia="仿宋_GB2312"/>
                <w:sz w:val="28"/>
                <w:szCs w:val="28"/>
              </w:rPr>
            </w:pPr>
            <w:r>
              <w:rPr>
                <w:rFonts w:ascii="Times New Roman" w:hAnsi="Times New Roman" w:eastAsia="仿宋_GB2312"/>
                <w:sz w:val="28"/>
                <w:szCs w:val="28"/>
              </w:rPr>
              <w:t>交叉感染</w:t>
            </w:r>
          </w:p>
        </w:tc>
      </w:tr>
      <w:tr w14:paraId="76BA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1" w:type="dxa"/>
            <w:vMerge w:val="continue"/>
            <w:noWrap w:val="0"/>
            <w:vAlign w:val="center"/>
          </w:tcPr>
          <w:p w14:paraId="075D5D66">
            <w:pPr>
              <w:spacing w:line="400" w:lineRule="exact"/>
              <w:ind w:firstLine="560" w:firstLineChars="200"/>
              <w:jc w:val="center"/>
              <w:rPr>
                <w:rFonts w:ascii="Times New Roman" w:hAnsi="Times New Roman" w:eastAsia="仿宋_GB2312"/>
                <w:sz w:val="28"/>
                <w:szCs w:val="28"/>
              </w:rPr>
            </w:pPr>
          </w:p>
        </w:tc>
        <w:tc>
          <w:tcPr>
            <w:tcW w:w="1438" w:type="dxa"/>
            <w:noWrap w:val="0"/>
            <w:vAlign w:val="center"/>
          </w:tcPr>
          <w:p w14:paraId="7182D9C9">
            <w:pPr>
              <w:spacing w:line="400" w:lineRule="exact"/>
              <w:rPr>
                <w:rFonts w:eastAsia="微软雅黑"/>
              </w:rPr>
            </w:pPr>
            <w:r>
              <w:rPr>
                <w:rFonts w:ascii="Times New Roman" w:hAnsi="Times New Roman" w:eastAsia="仿宋_GB2312"/>
                <w:sz w:val="28"/>
                <w:szCs w:val="28"/>
              </w:rPr>
              <w:t>材料相容性风险</w:t>
            </w:r>
          </w:p>
        </w:tc>
        <w:tc>
          <w:tcPr>
            <w:tcW w:w="2956" w:type="dxa"/>
            <w:noWrap w:val="0"/>
            <w:vAlign w:val="center"/>
          </w:tcPr>
          <w:p w14:paraId="0EAA2D81">
            <w:pPr>
              <w:spacing w:line="400" w:lineRule="exact"/>
              <w:rPr>
                <w:rFonts w:ascii="Times New Roman" w:hAnsi="Times New Roman" w:eastAsia="仿宋_GB2312"/>
                <w:sz w:val="28"/>
                <w:szCs w:val="28"/>
              </w:rPr>
            </w:pPr>
            <w:r>
              <w:rPr>
                <w:rFonts w:ascii="Times New Roman" w:hAnsi="Times New Roman" w:eastAsia="仿宋_GB2312"/>
                <w:sz w:val="28"/>
                <w:szCs w:val="28"/>
              </w:rPr>
              <w:t>使用与产品不</w:t>
            </w:r>
            <w:r>
              <w:rPr>
                <w:rFonts w:hint="eastAsia" w:ascii="Times New Roman" w:hAnsi="Times New Roman" w:eastAsia="仿宋_GB2312"/>
                <w:sz w:val="28"/>
                <w:szCs w:val="28"/>
              </w:rPr>
              <w:t>相容</w:t>
            </w:r>
            <w:r>
              <w:rPr>
                <w:rFonts w:ascii="Times New Roman" w:hAnsi="Times New Roman" w:eastAsia="仿宋_GB2312"/>
                <w:sz w:val="28"/>
                <w:szCs w:val="28"/>
              </w:rPr>
              <w:t>的润滑剂</w:t>
            </w:r>
            <w:r>
              <w:rPr>
                <w:rFonts w:hint="eastAsia" w:ascii="Times New Roman" w:hAnsi="Times New Roman" w:eastAsia="仿宋_GB2312"/>
                <w:sz w:val="28"/>
                <w:szCs w:val="28"/>
              </w:rPr>
              <w:t>；说明书</w:t>
            </w:r>
            <w:r>
              <w:rPr>
                <w:rFonts w:ascii="Times New Roman" w:hAnsi="Times New Roman" w:eastAsia="仿宋_GB2312"/>
                <w:color w:val="111133"/>
                <w:sz w:val="28"/>
                <w:szCs w:val="28"/>
              </w:rPr>
              <w:t>未明确警示禁用润滑剂类型</w:t>
            </w:r>
          </w:p>
        </w:tc>
        <w:tc>
          <w:tcPr>
            <w:tcW w:w="3789" w:type="dxa"/>
            <w:noWrap w:val="0"/>
            <w:vAlign w:val="center"/>
          </w:tcPr>
          <w:p w14:paraId="07219AB1">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产品套囊破裂及其继发临床风险</w:t>
            </w:r>
          </w:p>
        </w:tc>
      </w:tr>
      <w:tr w14:paraId="7090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1" w:type="dxa"/>
            <w:noWrap w:val="0"/>
            <w:vAlign w:val="center"/>
          </w:tcPr>
          <w:p w14:paraId="23C163D7">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功能失效、老化引起的危险</w:t>
            </w:r>
          </w:p>
        </w:tc>
        <w:tc>
          <w:tcPr>
            <w:tcW w:w="1438" w:type="dxa"/>
            <w:noWrap w:val="0"/>
            <w:vAlign w:val="center"/>
          </w:tcPr>
          <w:p w14:paraId="7082AEEC">
            <w:pPr>
              <w:spacing w:line="400" w:lineRule="exact"/>
              <w:rPr>
                <w:rFonts w:ascii="Times New Roman" w:hAnsi="Times New Roman" w:eastAsia="仿宋_GB2312"/>
                <w:sz w:val="28"/>
                <w:szCs w:val="28"/>
              </w:rPr>
            </w:pPr>
            <w:r>
              <w:rPr>
                <w:rFonts w:ascii="Times New Roman" w:hAnsi="Times New Roman" w:eastAsia="仿宋_GB2312"/>
                <w:sz w:val="28"/>
                <w:szCs w:val="28"/>
              </w:rPr>
              <w:t>对医疗器械寿命终止缺少适当的决定</w:t>
            </w:r>
          </w:p>
        </w:tc>
        <w:tc>
          <w:tcPr>
            <w:tcW w:w="2956" w:type="dxa"/>
            <w:noWrap w:val="0"/>
            <w:vAlign w:val="center"/>
          </w:tcPr>
          <w:p w14:paraId="7C1DC79C">
            <w:pPr>
              <w:spacing w:line="400" w:lineRule="exact"/>
              <w:rPr>
                <w:rFonts w:ascii="Times New Roman" w:hAnsi="Times New Roman" w:eastAsia="仿宋_GB2312"/>
                <w:sz w:val="28"/>
                <w:szCs w:val="28"/>
              </w:rPr>
            </w:pPr>
            <w:r>
              <w:rPr>
                <w:rFonts w:ascii="Times New Roman" w:hAnsi="Times New Roman" w:eastAsia="仿宋_GB2312"/>
                <w:sz w:val="28"/>
                <w:szCs w:val="28"/>
              </w:rPr>
              <w:t>超出有效期的产品被使用</w:t>
            </w:r>
          </w:p>
        </w:tc>
        <w:tc>
          <w:tcPr>
            <w:tcW w:w="3789" w:type="dxa"/>
            <w:noWrap w:val="0"/>
            <w:vAlign w:val="center"/>
          </w:tcPr>
          <w:p w14:paraId="733A2EFB">
            <w:pPr>
              <w:spacing w:line="400" w:lineRule="exact"/>
              <w:rPr>
                <w:rFonts w:ascii="Times New Roman" w:hAnsi="Times New Roman" w:eastAsia="仿宋_GB2312"/>
                <w:sz w:val="28"/>
                <w:szCs w:val="28"/>
              </w:rPr>
            </w:pPr>
            <w:r>
              <w:rPr>
                <w:rFonts w:ascii="Times New Roman" w:hAnsi="Times New Roman" w:eastAsia="仿宋_GB2312"/>
                <w:sz w:val="28"/>
                <w:szCs w:val="28"/>
              </w:rPr>
              <w:t>患者感染或产品无法满足临床使用</w:t>
            </w:r>
          </w:p>
        </w:tc>
      </w:tr>
    </w:tbl>
    <w:p w14:paraId="4F9C65BD">
      <w:pPr>
        <w:spacing w:line="520" w:lineRule="exact"/>
        <w:rPr>
          <w:rFonts w:ascii="Times New Roman" w:hAnsi="Times New Roman" w:eastAsia="仿宋_GB2312"/>
          <w:sz w:val="32"/>
          <w:szCs w:val="32"/>
        </w:rPr>
      </w:pPr>
    </w:p>
    <w:sectPr>
      <w:footerReference r:id="rId3" w:type="default"/>
      <w:footerReference r:id="rId4" w:type="even"/>
      <w:pgSz w:w="11906" w:h="16838"/>
      <w:pgMar w:top="1701" w:right="1588" w:bottom="1701" w:left="1588" w:header="851" w:footer="992" w:gutter="0"/>
      <w:lnNumType w:countBy="0" w:restart="continuou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144E">
    <w:pPr>
      <w:pStyle w:val="8"/>
      <w:wordWrap w:val="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13</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41FB">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14</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A3ZDQwMmNiOWFlYzZjYTcwOWJiZGQ0YTA5ODBmZGUifQ=="/>
  </w:docVars>
  <w:rsids>
    <w:rsidRoot w:val="007E2FE7"/>
    <w:rsid w:val="0004599C"/>
    <w:rsid w:val="00052155"/>
    <w:rsid w:val="0005637A"/>
    <w:rsid w:val="0009226B"/>
    <w:rsid w:val="000A4880"/>
    <w:rsid w:val="000B2F71"/>
    <w:rsid w:val="0010327B"/>
    <w:rsid w:val="001319EF"/>
    <w:rsid w:val="0014213F"/>
    <w:rsid w:val="00161CB1"/>
    <w:rsid w:val="00170777"/>
    <w:rsid w:val="00174045"/>
    <w:rsid w:val="001A0E0B"/>
    <w:rsid w:val="001D78A1"/>
    <w:rsid w:val="001F61C7"/>
    <w:rsid w:val="00202482"/>
    <w:rsid w:val="00202DFF"/>
    <w:rsid w:val="002630BB"/>
    <w:rsid w:val="002A3182"/>
    <w:rsid w:val="002B39A9"/>
    <w:rsid w:val="002D269B"/>
    <w:rsid w:val="00303AF8"/>
    <w:rsid w:val="00335243"/>
    <w:rsid w:val="00375B1B"/>
    <w:rsid w:val="003C37E2"/>
    <w:rsid w:val="003F123D"/>
    <w:rsid w:val="004277C9"/>
    <w:rsid w:val="004318FB"/>
    <w:rsid w:val="00485A8F"/>
    <w:rsid w:val="00494FFB"/>
    <w:rsid w:val="00497A1B"/>
    <w:rsid w:val="004D2328"/>
    <w:rsid w:val="0055268B"/>
    <w:rsid w:val="00562232"/>
    <w:rsid w:val="005A13CC"/>
    <w:rsid w:val="005A7208"/>
    <w:rsid w:val="005B5B59"/>
    <w:rsid w:val="005C7639"/>
    <w:rsid w:val="005F65CD"/>
    <w:rsid w:val="00685385"/>
    <w:rsid w:val="00685722"/>
    <w:rsid w:val="006B12A7"/>
    <w:rsid w:val="006C36F0"/>
    <w:rsid w:val="006E7589"/>
    <w:rsid w:val="00743F83"/>
    <w:rsid w:val="00756DED"/>
    <w:rsid w:val="007C16C8"/>
    <w:rsid w:val="007C2CDB"/>
    <w:rsid w:val="007D1CD0"/>
    <w:rsid w:val="007D3BA7"/>
    <w:rsid w:val="007E2FE7"/>
    <w:rsid w:val="007F0C23"/>
    <w:rsid w:val="007F6FB3"/>
    <w:rsid w:val="00841E53"/>
    <w:rsid w:val="00884878"/>
    <w:rsid w:val="008A3134"/>
    <w:rsid w:val="008D3CDD"/>
    <w:rsid w:val="00932173"/>
    <w:rsid w:val="009617D5"/>
    <w:rsid w:val="009645AB"/>
    <w:rsid w:val="00981975"/>
    <w:rsid w:val="00982EA2"/>
    <w:rsid w:val="009B5F11"/>
    <w:rsid w:val="009C11E2"/>
    <w:rsid w:val="009C59B8"/>
    <w:rsid w:val="00A02FF4"/>
    <w:rsid w:val="00A05C89"/>
    <w:rsid w:val="00A3176D"/>
    <w:rsid w:val="00A71349"/>
    <w:rsid w:val="00A779CB"/>
    <w:rsid w:val="00A81648"/>
    <w:rsid w:val="00A90969"/>
    <w:rsid w:val="00A954D5"/>
    <w:rsid w:val="00AE4E5E"/>
    <w:rsid w:val="00B17551"/>
    <w:rsid w:val="00B34B45"/>
    <w:rsid w:val="00B53C55"/>
    <w:rsid w:val="00B5443F"/>
    <w:rsid w:val="00B933C4"/>
    <w:rsid w:val="00BA7EA6"/>
    <w:rsid w:val="00BC2643"/>
    <w:rsid w:val="00BE4943"/>
    <w:rsid w:val="00BF59B5"/>
    <w:rsid w:val="00BF62BF"/>
    <w:rsid w:val="00C0714D"/>
    <w:rsid w:val="00C44507"/>
    <w:rsid w:val="00C83ACE"/>
    <w:rsid w:val="00C93FA8"/>
    <w:rsid w:val="00CD2555"/>
    <w:rsid w:val="00CF19EA"/>
    <w:rsid w:val="00CF56C7"/>
    <w:rsid w:val="00D061D8"/>
    <w:rsid w:val="00D20B1F"/>
    <w:rsid w:val="00D25FFB"/>
    <w:rsid w:val="00D348C5"/>
    <w:rsid w:val="00D40D69"/>
    <w:rsid w:val="00D95417"/>
    <w:rsid w:val="00DB0D87"/>
    <w:rsid w:val="00E0770D"/>
    <w:rsid w:val="00E16FE2"/>
    <w:rsid w:val="00E37D51"/>
    <w:rsid w:val="00E84BA1"/>
    <w:rsid w:val="00EB5E90"/>
    <w:rsid w:val="00EE6A2A"/>
    <w:rsid w:val="00EF75A1"/>
    <w:rsid w:val="00F23D90"/>
    <w:rsid w:val="00F25B05"/>
    <w:rsid w:val="00F26F7D"/>
    <w:rsid w:val="00F80125"/>
    <w:rsid w:val="00FD6E3F"/>
    <w:rsid w:val="01064C9A"/>
    <w:rsid w:val="01170C55"/>
    <w:rsid w:val="01207B0A"/>
    <w:rsid w:val="012B13DD"/>
    <w:rsid w:val="012F2443"/>
    <w:rsid w:val="013435B5"/>
    <w:rsid w:val="0134755F"/>
    <w:rsid w:val="013637D1"/>
    <w:rsid w:val="01395070"/>
    <w:rsid w:val="01631A2B"/>
    <w:rsid w:val="01633E9B"/>
    <w:rsid w:val="01671BDD"/>
    <w:rsid w:val="016A5229"/>
    <w:rsid w:val="018A5E93"/>
    <w:rsid w:val="01BB3CD7"/>
    <w:rsid w:val="01CC1A40"/>
    <w:rsid w:val="01D32DCE"/>
    <w:rsid w:val="01D408F4"/>
    <w:rsid w:val="01DF5C17"/>
    <w:rsid w:val="01E274B5"/>
    <w:rsid w:val="01F3521E"/>
    <w:rsid w:val="01FF0067"/>
    <w:rsid w:val="020A2568"/>
    <w:rsid w:val="021D229B"/>
    <w:rsid w:val="022278B2"/>
    <w:rsid w:val="022E6257"/>
    <w:rsid w:val="0236335D"/>
    <w:rsid w:val="025008C3"/>
    <w:rsid w:val="02581525"/>
    <w:rsid w:val="025832D3"/>
    <w:rsid w:val="025B2DC4"/>
    <w:rsid w:val="025C1016"/>
    <w:rsid w:val="0284056C"/>
    <w:rsid w:val="02994018"/>
    <w:rsid w:val="029F4324"/>
    <w:rsid w:val="02B04EBD"/>
    <w:rsid w:val="02BC1AB4"/>
    <w:rsid w:val="02D768EE"/>
    <w:rsid w:val="02E96621"/>
    <w:rsid w:val="02F456F2"/>
    <w:rsid w:val="02FA438B"/>
    <w:rsid w:val="02FC45A7"/>
    <w:rsid w:val="03244E14"/>
    <w:rsid w:val="033C2BF5"/>
    <w:rsid w:val="034A70C0"/>
    <w:rsid w:val="035E2C4D"/>
    <w:rsid w:val="03636509"/>
    <w:rsid w:val="036B5288"/>
    <w:rsid w:val="0374238F"/>
    <w:rsid w:val="03795BF7"/>
    <w:rsid w:val="03A5079A"/>
    <w:rsid w:val="03B46C2F"/>
    <w:rsid w:val="03BB21D9"/>
    <w:rsid w:val="03C06F68"/>
    <w:rsid w:val="03CC5D27"/>
    <w:rsid w:val="03D60954"/>
    <w:rsid w:val="03FD4132"/>
    <w:rsid w:val="04074FB1"/>
    <w:rsid w:val="04243DB5"/>
    <w:rsid w:val="042C0EBC"/>
    <w:rsid w:val="043D4E77"/>
    <w:rsid w:val="04826D2E"/>
    <w:rsid w:val="04942BAD"/>
    <w:rsid w:val="04A46CA4"/>
    <w:rsid w:val="04B35139"/>
    <w:rsid w:val="04B360C1"/>
    <w:rsid w:val="04BA2023"/>
    <w:rsid w:val="04BC5D9C"/>
    <w:rsid w:val="04CA740E"/>
    <w:rsid w:val="04EE6171"/>
    <w:rsid w:val="04EF4A00"/>
    <w:rsid w:val="04F27A0F"/>
    <w:rsid w:val="04F419D9"/>
    <w:rsid w:val="04FE63B4"/>
    <w:rsid w:val="050F6813"/>
    <w:rsid w:val="053C512E"/>
    <w:rsid w:val="054364BD"/>
    <w:rsid w:val="055A55B4"/>
    <w:rsid w:val="055E50A5"/>
    <w:rsid w:val="058F1702"/>
    <w:rsid w:val="05CC5F32"/>
    <w:rsid w:val="05D9472B"/>
    <w:rsid w:val="05E337FC"/>
    <w:rsid w:val="05EA6938"/>
    <w:rsid w:val="05EC26B0"/>
    <w:rsid w:val="06035C4C"/>
    <w:rsid w:val="061E4834"/>
    <w:rsid w:val="065344DE"/>
    <w:rsid w:val="066F6E3E"/>
    <w:rsid w:val="06A74829"/>
    <w:rsid w:val="06AE5BB8"/>
    <w:rsid w:val="06CB4DDC"/>
    <w:rsid w:val="06DF5D71"/>
    <w:rsid w:val="06E17D3B"/>
    <w:rsid w:val="06E93094"/>
    <w:rsid w:val="06F37A6F"/>
    <w:rsid w:val="070211A3"/>
    <w:rsid w:val="070B4DB8"/>
    <w:rsid w:val="07205EF4"/>
    <w:rsid w:val="07247C28"/>
    <w:rsid w:val="07283BBC"/>
    <w:rsid w:val="0735378A"/>
    <w:rsid w:val="07416A2C"/>
    <w:rsid w:val="0749768F"/>
    <w:rsid w:val="074D3623"/>
    <w:rsid w:val="075C1B21"/>
    <w:rsid w:val="0777515D"/>
    <w:rsid w:val="077E558A"/>
    <w:rsid w:val="078132CC"/>
    <w:rsid w:val="079673A7"/>
    <w:rsid w:val="07A34FF1"/>
    <w:rsid w:val="07AC659B"/>
    <w:rsid w:val="07C35693"/>
    <w:rsid w:val="07D16002"/>
    <w:rsid w:val="07D17DB0"/>
    <w:rsid w:val="07E86EA8"/>
    <w:rsid w:val="08000695"/>
    <w:rsid w:val="08055CAB"/>
    <w:rsid w:val="080D2DB2"/>
    <w:rsid w:val="0822685D"/>
    <w:rsid w:val="08387E2F"/>
    <w:rsid w:val="08422A5C"/>
    <w:rsid w:val="084542FA"/>
    <w:rsid w:val="0858227F"/>
    <w:rsid w:val="08730E67"/>
    <w:rsid w:val="0878647D"/>
    <w:rsid w:val="088455A4"/>
    <w:rsid w:val="0889068B"/>
    <w:rsid w:val="08907C6B"/>
    <w:rsid w:val="0891753F"/>
    <w:rsid w:val="08956AF6"/>
    <w:rsid w:val="089D5EE4"/>
    <w:rsid w:val="08BF22FE"/>
    <w:rsid w:val="08CE0713"/>
    <w:rsid w:val="08D51B22"/>
    <w:rsid w:val="08EE4992"/>
    <w:rsid w:val="09023F99"/>
    <w:rsid w:val="0926237D"/>
    <w:rsid w:val="092B34F0"/>
    <w:rsid w:val="093323A4"/>
    <w:rsid w:val="0935436E"/>
    <w:rsid w:val="094B5940"/>
    <w:rsid w:val="095962AF"/>
    <w:rsid w:val="095D5673"/>
    <w:rsid w:val="09727371"/>
    <w:rsid w:val="09815806"/>
    <w:rsid w:val="098175B4"/>
    <w:rsid w:val="09864BCA"/>
    <w:rsid w:val="099A0675"/>
    <w:rsid w:val="099C263F"/>
    <w:rsid w:val="09AB5B09"/>
    <w:rsid w:val="09B7725A"/>
    <w:rsid w:val="09CD45A7"/>
    <w:rsid w:val="09E33DCA"/>
    <w:rsid w:val="09E638BB"/>
    <w:rsid w:val="09E77C46"/>
    <w:rsid w:val="0A1348C9"/>
    <w:rsid w:val="0A187F18"/>
    <w:rsid w:val="0A2C751F"/>
    <w:rsid w:val="0A310FDA"/>
    <w:rsid w:val="0A434869"/>
    <w:rsid w:val="0A4C5E14"/>
    <w:rsid w:val="0A51342A"/>
    <w:rsid w:val="0A530F50"/>
    <w:rsid w:val="0A6842D0"/>
    <w:rsid w:val="0A6C0264"/>
    <w:rsid w:val="0A726EFC"/>
    <w:rsid w:val="0A786C09"/>
    <w:rsid w:val="0A7B4003"/>
    <w:rsid w:val="0A7D5FCD"/>
    <w:rsid w:val="0A83110A"/>
    <w:rsid w:val="0A851326"/>
    <w:rsid w:val="0A8A06EA"/>
    <w:rsid w:val="0A982E07"/>
    <w:rsid w:val="0A9F4195"/>
    <w:rsid w:val="0AA7129C"/>
    <w:rsid w:val="0AB15C77"/>
    <w:rsid w:val="0AD9639E"/>
    <w:rsid w:val="0AEA2F37"/>
    <w:rsid w:val="0AF142C5"/>
    <w:rsid w:val="0AFD318D"/>
    <w:rsid w:val="0B1A7CC0"/>
    <w:rsid w:val="0B1C57E6"/>
    <w:rsid w:val="0B2B77D7"/>
    <w:rsid w:val="0B330D82"/>
    <w:rsid w:val="0B3D39AE"/>
    <w:rsid w:val="0B41524D"/>
    <w:rsid w:val="0B670BE4"/>
    <w:rsid w:val="0B705B32"/>
    <w:rsid w:val="0B7C0033"/>
    <w:rsid w:val="0B957346"/>
    <w:rsid w:val="0BCB0FBA"/>
    <w:rsid w:val="0BD5530E"/>
    <w:rsid w:val="0BEF6A57"/>
    <w:rsid w:val="0BEFEF62"/>
    <w:rsid w:val="0BF71DAF"/>
    <w:rsid w:val="0BF73038"/>
    <w:rsid w:val="0BF978D5"/>
    <w:rsid w:val="0C180AA3"/>
    <w:rsid w:val="0C525237"/>
    <w:rsid w:val="0C5734B3"/>
    <w:rsid w:val="0C6A2581"/>
    <w:rsid w:val="0C6F5DE9"/>
    <w:rsid w:val="0C727688"/>
    <w:rsid w:val="0C8278CB"/>
    <w:rsid w:val="0CA535B9"/>
    <w:rsid w:val="0CAE5ED0"/>
    <w:rsid w:val="0CB11F5E"/>
    <w:rsid w:val="0CB90E13"/>
    <w:rsid w:val="0CBB102F"/>
    <w:rsid w:val="0CD21ED4"/>
    <w:rsid w:val="0CD33710"/>
    <w:rsid w:val="0CEC2F96"/>
    <w:rsid w:val="0D046532"/>
    <w:rsid w:val="0D1349C7"/>
    <w:rsid w:val="0D1424ED"/>
    <w:rsid w:val="0D166366"/>
    <w:rsid w:val="0D200E92"/>
    <w:rsid w:val="0D3F3A0E"/>
    <w:rsid w:val="0D4508F8"/>
    <w:rsid w:val="0D584ACF"/>
    <w:rsid w:val="0D605732"/>
    <w:rsid w:val="0D696CDD"/>
    <w:rsid w:val="0D735465"/>
    <w:rsid w:val="0D774F56"/>
    <w:rsid w:val="0D951880"/>
    <w:rsid w:val="0DB6446C"/>
    <w:rsid w:val="0DBE38B4"/>
    <w:rsid w:val="0DE14AC5"/>
    <w:rsid w:val="0DEB54A2"/>
    <w:rsid w:val="0DEE0F90"/>
    <w:rsid w:val="0DF742E8"/>
    <w:rsid w:val="0DFC18FF"/>
    <w:rsid w:val="0E0D6B04"/>
    <w:rsid w:val="0E141045"/>
    <w:rsid w:val="0E2D1AB8"/>
    <w:rsid w:val="0E364E11"/>
    <w:rsid w:val="0E3966AF"/>
    <w:rsid w:val="0E3A5F83"/>
    <w:rsid w:val="0E3C0D75"/>
    <w:rsid w:val="0E3F3599"/>
    <w:rsid w:val="0E415563"/>
    <w:rsid w:val="0E572FD9"/>
    <w:rsid w:val="0E6B438E"/>
    <w:rsid w:val="0E752E33"/>
    <w:rsid w:val="0E7B2823"/>
    <w:rsid w:val="0E9B2EC6"/>
    <w:rsid w:val="0EA7186A"/>
    <w:rsid w:val="0EC20452"/>
    <w:rsid w:val="0EDB59B8"/>
    <w:rsid w:val="0EE228A3"/>
    <w:rsid w:val="0EE4486D"/>
    <w:rsid w:val="0EE91E83"/>
    <w:rsid w:val="0EEB6DB7"/>
    <w:rsid w:val="0F024CF3"/>
    <w:rsid w:val="0F064495"/>
    <w:rsid w:val="0F20161D"/>
    <w:rsid w:val="0F334EAC"/>
    <w:rsid w:val="0F3D5D2B"/>
    <w:rsid w:val="0F44355D"/>
    <w:rsid w:val="0F4672D5"/>
    <w:rsid w:val="0F5A68DD"/>
    <w:rsid w:val="0F6E2388"/>
    <w:rsid w:val="0F8E6586"/>
    <w:rsid w:val="0F9A4F2B"/>
    <w:rsid w:val="0FA1275E"/>
    <w:rsid w:val="0FB00BF3"/>
    <w:rsid w:val="0FB104C7"/>
    <w:rsid w:val="0FB71F81"/>
    <w:rsid w:val="0FD541B5"/>
    <w:rsid w:val="0FD83CA6"/>
    <w:rsid w:val="0FE8038D"/>
    <w:rsid w:val="0FED2C62"/>
    <w:rsid w:val="0FF00FEF"/>
    <w:rsid w:val="0FFD3BA2"/>
    <w:rsid w:val="100144D1"/>
    <w:rsid w:val="10183048"/>
    <w:rsid w:val="103A670E"/>
    <w:rsid w:val="103B1BF6"/>
    <w:rsid w:val="10521CAA"/>
    <w:rsid w:val="10611EED"/>
    <w:rsid w:val="10677765"/>
    <w:rsid w:val="10771710"/>
    <w:rsid w:val="107C2883"/>
    <w:rsid w:val="1090632E"/>
    <w:rsid w:val="10A36062"/>
    <w:rsid w:val="10A5002C"/>
    <w:rsid w:val="10AA5642"/>
    <w:rsid w:val="10B169D0"/>
    <w:rsid w:val="10B4026F"/>
    <w:rsid w:val="10C06C14"/>
    <w:rsid w:val="10DA645D"/>
    <w:rsid w:val="10E04EA0"/>
    <w:rsid w:val="10EF12A7"/>
    <w:rsid w:val="10F62635"/>
    <w:rsid w:val="111927C8"/>
    <w:rsid w:val="112A0531"/>
    <w:rsid w:val="112A22DF"/>
    <w:rsid w:val="112C42A9"/>
    <w:rsid w:val="11380EA0"/>
    <w:rsid w:val="114C66F9"/>
    <w:rsid w:val="115455AE"/>
    <w:rsid w:val="11671785"/>
    <w:rsid w:val="117D68B3"/>
    <w:rsid w:val="11934328"/>
    <w:rsid w:val="119500A0"/>
    <w:rsid w:val="119A56B6"/>
    <w:rsid w:val="119D51A7"/>
    <w:rsid w:val="11C10E95"/>
    <w:rsid w:val="11CB1D14"/>
    <w:rsid w:val="11DE311B"/>
    <w:rsid w:val="11E64458"/>
    <w:rsid w:val="11F33019"/>
    <w:rsid w:val="11F36B75"/>
    <w:rsid w:val="11FA43A7"/>
    <w:rsid w:val="12042B30"/>
    <w:rsid w:val="12307DC9"/>
    <w:rsid w:val="12371157"/>
    <w:rsid w:val="123C051C"/>
    <w:rsid w:val="123E4294"/>
    <w:rsid w:val="12486EC1"/>
    <w:rsid w:val="12641821"/>
    <w:rsid w:val="12722B14"/>
    <w:rsid w:val="12865C3B"/>
    <w:rsid w:val="128819B3"/>
    <w:rsid w:val="128A74D9"/>
    <w:rsid w:val="128C7765"/>
    <w:rsid w:val="129465AA"/>
    <w:rsid w:val="12A14823"/>
    <w:rsid w:val="12A61E39"/>
    <w:rsid w:val="12AF41F6"/>
    <w:rsid w:val="12C50511"/>
    <w:rsid w:val="12C60070"/>
    <w:rsid w:val="12E34E3B"/>
    <w:rsid w:val="13001549"/>
    <w:rsid w:val="130152C1"/>
    <w:rsid w:val="130354DD"/>
    <w:rsid w:val="130B7EEE"/>
    <w:rsid w:val="130F79DE"/>
    <w:rsid w:val="131E40C5"/>
    <w:rsid w:val="13385187"/>
    <w:rsid w:val="13386F35"/>
    <w:rsid w:val="13421B62"/>
    <w:rsid w:val="13516249"/>
    <w:rsid w:val="13755A39"/>
    <w:rsid w:val="137A57A0"/>
    <w:rsid w:val="13912AE9"/>
    <w:rsid w:val="139E304F"/>
    <w:rsid w:val="13A46379"/>
    <w:rsid w:val="13A97E33"/>
    <w:rsid w:val="13B30CB1"/>
    <w:rsid w:val="13C87418"/>
    <w:rsid w:val="13D34EB0"/>
    <w:rsid w:val="13D44784"/>
    <w:rsid w:val="13E175CD"/>
    <w:rsid w:val="13F3608D"/>
    <w:rsid w:val="13FB7F63"/>
    <w:rsid w:val="140212F1"/>
    <w:rsid w:val="14067033"/>
    <w:rsid w:val="14107EB2"/>
    <w:rsid w:val="141334FE"/>
    <w:rsid w:val="142676D5"/>
    <w:rsid w:val="142C45C0"/>
    <w:rsid w:val="1437543F"/>
    <w:rsid w:val="143D30A2"/>
    <w:rsid w:val="14411E19"/>
    <w:rsid w:val="146E3DED"/>
    <w:rsid w:val="14757D15"/>
    <w:rsid w:val="147A373C"/>
    <w:rsid w:val="148443FC"/>
    <w:rsid w:val="148B12E6"/>
    <w:rsid w:val="14902DA1"/>
    <w:rsid w:val="14A779A2"/>
    <w:rsid w:val="14BC3B96"/>
    <w:rsid w:val="14CD7B51"/>
    <w:rsid w:val="14CF1965"/>
    <w:rsid w:val="14F50E56"/>
    <w:rsid w:val="14FB2910"/>
    <w:rsid w:val="15023C9F"/>
    <w:rsid w:val="15121A08"/>
    <w:rsid w:val="151632A6"/>
    <w:rsid w:val="151E65FF"/>
    <w:rsid w:val="152A4FA3"/>
    <w:rsid w:val="15323E58"/>
    <w:rsid w:val="153E45AB"/>
    <w:rsid w:val="155A1BBA"/>
    <w:rsid w:val="156009C5"/>
    <w:rsid w:val="156C424B"/>
    <w:rsid w:val="1573694A"/>
    <w:rsid w:val="15761F97"/>
    <w:rsid w:val="158226E9"/>
    <w:rsid w:val="158E5532"/>
    <w:rsid w:val="15997A33"/>
    <w:rsid w:val="15A765F4"/>
    <w:rsid w:val="15AB710C"/>
    <w:rsid w:val="15C54CCC"/>
    <w:rsid w:val="15C70A44"/>
    <w:rsid w:val="15FA4976"/>
    <w:rsid w:val="15FC1FCB"/>
    <w:rsid w:val="16102902"/>
    <w:rsid w:val="16290DB7"/>
    <w:rsid w:val="163065E9"/>
    <w:rsid w:val="1666025D"/>
    <w:rsid w:val="1666200B"/>
    <w:rsid w:val="16777D74"/>
    <w:rsid w:val="167D1103"/>
    <w:rsid w:val="169A1CB5"/>
    <w:rsid w:val="16A604EB"/>
    <w:rsid w:val="16AE750E"/>
    <w:rsid w:val="16B014D8"/>
    <w:rsid w:val="16CA07EC"/>
    <w:rsid w:val="17013AE2"/>
    <w:rsid w:val="17365E81"/>
    <w:rsid w:val="17400AAE"/>
    <w:rsid w:val="174560C4"/>
    <w:rsid w:val="175E0F34"/>
    <w:rsid w:val="176522C3"/>
    <w:rsid w:val="1768590F"/>
    <w:rsid w:val="17B35C58"/>
    <w:rsid w:val="17C52D61"/>
    <w:rsid w:val="17CC40F0"/>
    <w:rsid w:val="17DF02C7"/>
    <w:rsid w:val="17E256C1"/>
    <w:rsid w:val="17F67EE0"/>
    <w:rsid w:val="17F83137"/>
    <w:rsid w:val="18131D1F"/>
    <w:rsid w:val="185760AF"/>
    <w:rsid w:val="185A5BA0"/>
    <w:rsid w:val="185D743E"/>
    <w:rsid w:val="18664544"/>
    <w:rsid w:val="18700F1F"/>
    <w:rsid w:val="1876405C"/>
    <w:rsid w:val="187A7FF0"/>
    <w:rsid w:val="188D7D23"/>
    <w:rsid w:val="189664AC"/>
    <w:rsid w:val="18A92683"/>
    <w:rsid w:val="18AD2173"/>
    <w:rsid w:val="18DA0A8E"/>
    <w:rsid w:val="18EE0096"/>
    <w:rsid w:val="190B0C48"/>
    <w:rsid w:val="190D49C0"/>
    <w:rsid w:val="19397563"/>
    <w:rsid w:val="194D300E"/>
    <w:rsid w:val="195B1BCF"/>
    <w:rsid w:val="195C5947"/>
    <w:rsid w:val="196071E6"/>
    <w:rsid w:val="196909E3"/>
    <w:rsid w:val="196C5B8A"/>
    <w:rsid w:val="1981715C"/>
    <w:rsid w:val="198A6011"/>
    <w:rsid w:val="198D3D53"/>
    <w:rsid w:val="19924EC5"/>
    <w:rsid w:val="199D21E8"/>
    <w:rsid w:val="19AE61A3"/>
    <w:rsid w:val="19AF1F1B"/>
    <w:rsid w:val="19B7492C"/>
    <w:rsid w:val="19B80DD0"/>
    <w:rsid w:val="19C57049"/>
    <w:rsid w:val="19CE05F3"/>
    <w:rsid w:val="19F45B80"/>
    <w:rsid w:val="1A0758B3"/>
    <w:rsid w:val="1A116EA2"/>
    <w:rsid w:val="1A1A3838"/>
    <w:rsid w:val="1A22449B"/>
    <w:rsid w:val="1A352420"/>
    <w:rsid w:val="1A3D12D5"/>
    <w:rsid w:val="1A4563DB"/>
    <w:rsid w:val="1A46462D"/>
    <w:rsid w:val="1A50725A"/>
    <w:rsid w:val="1A587EBD"/>
    <w:rsid w:val="1A75181A"/>
    <w:rsid w:val="1A974E89"/>
    <w:rsid w:val="1AA43102"/>
    <w:rsid w:val="1AC75042"/>
    <w:rsid w:val="1ACE63D1"/>
    <w:rsid w:val="1AE6196C"/>
    <w:rsid w:val="1AF44089"/>
    <w:rsid w:val="1AFA0F74"/>
    <w:rsid w:val="1B067919"/>
    <w:rsid w:val="1B171B26"/>
    <w:rsid w:val="1B375D24"/>
    <w:rsid w:val="1B4548E5"/>
    <w:rsid w:val="1B487F31"/>
    <w:rsid w:val="1B4D19EC"/>
    <w:rsid w:val="1B59213E"/>
    <w:rsid w:val="1B60171F"/>
    <w:rsid w:val="1B724FAE"/>
    <w:rsid w:val="1B7900EB"/>
    <w:rsid w:val="1B7B0307"/>
    <w:rsid w:val="1B851185"/>
    <w:rsid w:val="1B9211AC"/>
    <w:rsid w:val="1B9C64CF"/>
    <w:rsid w:val="1BBC447B"/>
    <w:rsid w:val="1BDD4B1E"/>
    <w:rsid w:val="1BDE0896"/>
    <w:rsid w:val="1BE340FE"/>
    <w:rsid w:val="1BF632EA"/>
    <w:rsid w:val="1C0C0F5F"/>
    <w:rsid w:val="1C0D11EB"/>
    <w:rsid w:val="1C1222ED"/>
    <w:rsid w:val="1C136791"/>
    <w:rsid w:val="1C2C036C"/>
    <w:rsid w:val="1C2E35CB"/>
    <w:rsid w:val="1C367A66"/>
    <w:rsid w:val="1C422BD3"/>
    <w:rsid w:val="1C457245"/>
    <w:rsid w:val="1C626DD1"/>
    <w:rsid w:val="1C654B13"/>
    <w:rsid w:val="1C705992"/>
    <w:rsid w:val="1C730FDE"/>
    <w:rsid w:val="1C890801"/>
    <w:rsid w:val="1C9A01A0"/>
    <w:rsid w:val="1CB33AD0"/>
    <w:rsid w:val="1CC932F4"/>
    <w:rsid w:val="1CD51C99"/>
    <w:rsid w:val="1CDC58D3"/>
    <w:rsid w:val="1CDD28FB"/>
    <w:rsid w:val="1CDF6673"/>
    <w:rsid w:val="1CE04199"/>
    <w:rsid w:val="1CF77E61"/>
    <w:rsid w:val="1CFF6D16"/>
    <w:rsid w:val="1D04257E"/>
    <w:rsid w:val="1D2D4C5B"/>
    <w:rsid w:val="1D300C7D"/>
    <w:rsid w:val="1D484219"/>
    <w:rsid w:val="1D4961E3"/>
    <w:rsid w:val="1D5D57EA"/>
    <w:rsid w:val="1D630766"/>
    <w:rsid w:val="1D882867"/>
    <w:rsid w:val="1D90796E"/>
    <w:rsid w:val="1DB61742"/>
    <w:rsid w:val="1E0D0FBE"/>
    <w:rsid w:val="1E0E051F"/>
    <w:rsid w:val="1E276524"/>
    <w:rsid w:val="1E2C7696"/>
    <w:rsid w:val="1E334EC9"/>
    <w:rsid w:val="1E401394"/>
    <w:rsid w:val="1E652BA8"/>
    <w:rsid w:val="1E696B3C"/>
    <w:rsid w:val="1E74103D"/>
    <w:rsid w:val="1E965458"/>
    <w:rsid w:val="1E9F430C"/>
    <w:rsid w:val="1EA47B74"/>
    <w:rsid w:val="1EAA2CB1"/>
    <w:rsid w:val="1EB3600A"/>
    <w:rsid w:val="1EB53B30"/>
    <w:rsid w:val="1EC024D4"/>
    <w:rsid w:val="1EC33DEB"/>
    <w:rsid w:val="1EC75611"/>
    <w:rsid w:val="1ECC70CB"/>
    <w:rsid w:val="1ED61CF8"/>
    <w:rsid w:val="1EDD0ED2"/>
    <w:rsid w:val="1EF02DBA"/>
    <w:rsid w:val="1EF26B32"/>
    <w:rsid w:val="1F1D16D5"/>
    <w:rsid w:val="1F242A63"/>
    <w:rsid w:val="1F26058A"/>
    <w:rsid w:val="1F4924CA"/>
    <w:rsid w:val="1F572E70"/>
    <w:rsid w:val="1F7B6F6A"/>
    <w:rsid w:val="1F891D47"/>
    <w:rsid w:val="1F8A4FBC"/>
    <w:rsid w:val="1F971487"/>
    <w:rsid w:val="1FB578D4"/>
    <w:rsid w:val="1FCA360B"/>
    <w:rsid w:val="1FCF29CF"/>
    <w:rsid w:val="1FD06747"/>
    <w:rsid w:val="1FFC753C"/>
    <w:rsid w:val="1FFD05A3"/>
    <w:rsid w:val="20085EE1"/>
    <w:rsid w:val="200A3A07"/>
    <w:rsid w:val="201B5C14"/>
    <w:rsid w:val="2027280B"/>
    <w:rsid w:val="20303E66"/>
    <w:rsid w:val="203E5DA7"/>
    <w:rsid w:val="20541126"/>
    <w:rsid w:val="206D3F96"/>
    <w:rsid w:val="208A4B48"/>
    <w:rsid w:val="208C266E"/>
    <w:rsid w:val="209C29E7"/>
    <w:rsid w:val="209E05F3"/>
    <w:rsid w:val="20AE4CDA"/>
    <w:rsid w:val="20AF45AF"/>
    <w:rsid w:val="20BE2A44"/>
    <w:rsid w:val="20C52024"/>
    <w:rsid w:val="20C75D9C"/>
    <w:rsid w:val="20CC5161"/>
    <w:rsid w:val="20E06E5E"/>
    <w:rsid w:val="210865FD"/>
    <w:rsid w:val="21154D5A"/>
    <w:rsid w:val="212F1DC2"/>
    <w:rsid w:val="21453693"/>
    <w:rsid w:val="21661111"/>
    <w:rsid w:val="218D5522"/>
    <w:rsid w:val="2197576F"/>
    <w:rsid w:val="21A41C3A"/>
    <w:rsid w:val="21B52099"/>
    <w:rsid w:val="21B72F49"/>
    <w:rsid w:val="21C347B6"/>
    <w:rsid w:val="21E07116"/>
    <w:rsid w:val="21E32762"/>
    <w:rsid w:val="21E458ED"/>
    <w:rsid w:val="21F20BF7"/>
    <w:rsid w:val="221A409F"/>
    <w:rsid w:val="22433200"/>
    <w:rsid w:val="22573150"/>
    <w:rsid w:val="22576CAC"/>
    <w:rsid w:val="225B49EE"/>
    <w:rsid w:val="226338A3"/>
    <w:rsid w:val="22723AE6"/>
    <w:rsid w:val="228A52D3"/>
    <w:rsid w:val="228F6446"/>
    <w:rsid w:val="229323DA"/>
    <w:rsid w:val="22947723"/>
    <w:rsid w:val="22A30143"/>
    <w:rsid w:val="22E569AE"/>
    <w:rsid w:val="22F10EAE"/>
    <w:rsid w:val="23137077"/>
    <w:rsid w:val="23166B67"/>
    <w:rsid w:val="231943B0"/>
    <w:rsid w:val="232C638A"/>
    <w:rsid w:val="23390004"/>
    <w:rsid w:val="233D2346"/>
    <w:rsid w:val="2342170A"/>
    <w:rsid w:val="234611FA"/>
    <w:rsid w:val="234731C4"/>
    <w:rsid w:val="2351194D"/>
    <w:rsid w:val="23580F2E"/>
    <w:rsid w:val="235F406A"/>
    <w:rsid w:val="237C2E6E"/>
    <w:rsid w:val="23871813"/>
    <w:rsid w:val="2392443F"/>
    <w:rsid w:val="239D2DE4"/>
    <w:rsid w:val="239D4B92"/>
    <w:rsid w:val="23B26890"/>
    <w:rsid w:val="23B343B6"/>
    <w:rsid w:val="23DE7685"/>
    <w:rsid w:val="23F314B9"/>
    <w:rsid w:val="23FA0237"/>
    <w:rsid w:val="23FA1FE5"/>
    <w:rsid w:val="23FE1AD5"/>
    <w:rsid w:val="24066BDB"/>
    <w:rsid w:val="24125580"/>
    <w:rsid w:val="24134E54"/>
    <w:rsid w:val="2419690F"/>
    <w:rsid w:val="241E5CD3"/>
    <w:rsid w:val="2427640F"/>
    <w:rsid w:val="242F6132"/>
    <w:rsid w:val="24594F5D"/>
    <w:rsid w:val="24613E12"/>
    <w:rsid w:val="246456B0"/>
    <w:rsid w:val="247973AD"/>
    <w:rsid w:val="24833D88"/>
    <w:rsid w:val="24877D1C"/>
    <w:rsid w:val="24CC3981"/>
    <w:rsid w:val="24CE594B"/>
    <w:rsid w:val="24E011DB"/>
    <w:rsid w:val="24E16D01"/>
    <w:rsid w:val="24F904EE"/>
    <w:rsid w:val="2516081F"/>
    <w:rsid w:val="251F7F55"/>
    <w:rsid w:val="252F5CBE"/>
    <w:rsid w:val="253A4D8F"/>
    <w:rsid w:val="255045B2"/>
    <w:rsid w:val="255C2C60"/>
    <w:rsid w:val="256736AA"/>
    <w:rsid w:val="258C1362"/>
    <w:rsid w:val="2596165B"/>
    <w:rsid w:val="25B05051"/>
    <w:rsid w:val="25B26A92"/>
    <w:rsid w:val="25CD5C03"/>
    <w:rsid w:val="25EA3E3B"/>
    <w:rsid w:val="25FA2770"/>
    <w:rsid w:val="26025181"/>
    <w:rsid w:val="26040EF9"/>
    <w:rsid w:val="26105AEF"/>
    <w:rsid w:val="26215F4F"/>
    <w:rsid w:val="26284BE7"/>
    <w:rsid w:val="26321C01"/>
    <w:rsid w:val="263F63D5"/>
    <w:rsid w:val="264D092B"/>
    <w:rsid w:val="26760048"/>
    <w:rsid w:val="267A740D"/>
    <w:rsid w:val="26920BFA"/>
    <w:rsid w:val="26B97F35"/>
    <w:rsid w:val="26BE379D"/>
    <w:rsid w:val="26EA00EF"/>
    <w:rsid w:val="26EC20B9"/>
    <w:rsid w:val="26F86CAF"/>
    <w:rsid w:val="26FD2518"/>
    <w:rsid w:val="26FF4651"/>
    <w:rsid w:val="270F224B"/>
    <w:rsid w:val="27111B1F"/>
    <w:rsid w:val="272555CB"/>
    <w:rsid w:val="27280C17"/>
    <w:rsid w:val="27321A96"/>
    <w:rsid w:val="27353013"/>
    <w:rsid w:val="273B4DEE"/>
    <w:rsid w:val="27421CD9"/>
    <w:rsid w:val="2753038A"/>
    <w:rsid w:val="27533EE6"/>
    <w:rsid w:val="27767BD4"/>
    <w:rsid w:val="27781B9E"/>
    <w:rsid w:val="277D71B5"/>
    <w:rsid w:val="278542BB"/>
    <w:rsid w:val="27A110F5"/>
    <w:rsid w:val="27A44741"/>
    <w:rsid w:val="27BF77CD"/>
    <w:rsid w:val="27C272BD"/>
    <w:rsid w:val="27C60B5C"/>
    <w:rsid w:val="27CB208D"/>
    <w:rsid w:val="27CB7F20"/>
    <w:rsid w:val="27D72414"/>
    <w:rsid w:val="27D73B2C"/>
    <w:rsid w:val="27D8263D"/>
    <w:rsid w:val="27E40FE2"/>
    <w:rsid w:val="27FC27CF"/>
    <w:rsid w:val="27FC632B"/>
    <w:rsid w:val="28495290"/>
    <w:rsid w:val="2852419D"/>
    <w:rsid w:val="28550131"/>
    <w:rsid w:val="285C326E"/>
    <w:rsid w:val="286C5EC7"/>
    <w:rsid w:val="289F315B"/>
    <w:rsid w:val="28DC615D"/>
    <w:rsid w:val="28EA087A"/>
    <w:rsid w:val="291A7161"/>
    <w:rsid w:val="2920429C"/>
    <w:rsid w:val="292518B2"/>
    <w:rsid w:val="292D69B8"/>
    <w:rsid w:val="294E0E09"/>
    <w:rsid w:val="294F4B81"/>
    <w:rsid w:val="29634188"/>
    <w:rsid w:val="296B05F1"/>
    <w:rsid w:val="296B7436"/>
    <w:rsid w:val="297168A5"/>
    <w:rsid w:val="2976035F"/>
    <w:rsid w:val="29804D3A"/>
    <w:rsid w:val="299971FA"/>
    <w:rsid w:val="299F78B6"/>
    <w:rsid w:val="29A94291"/>
    <w:rsid w:val="29AF73CD"/>
    <w:rsid w:val="29B175E9"/>
    <w:rsid w:val="29C54E43"/>
    <w:rsid w:val="29CC320F"/>
    <w:rsid w:val="29CC4423"/>
    <w:rsid w:val="29CE5AA6"/>
    <w:rsid w:val="29FA689B"/>
    <w:rsid w:val="2A16744D"/>
    <w:rsid w:val="2A1F09F7"/>
    <w:rsid w:val="2A27165A"/>
    <w:rsid w:val="2A3E7CB6"/>
    <w:rsid w:val="2A467D32"/>
    <w:rsid w:val="2A554419"/>
    <w:rsid w:val="2A5A1A2F"/>
    <w:rsid w:val="2A64640A"/>
    <w:rsid w:val="2A6E7289"/>
    <w:rsid w:val="2A7A3E7F"/>
    <w:rsid w:val="2A7E571E"/>
    <w:rsid w:val="2A832D34"/>
    <w:rsid w:val="2AB54EB7"/>
    <w:rsid w:val="2ABB0720"/>
    <w:rsid w:val="2ABD22D2"/>
    <w:rsid w:val="2AC11AAE"/>
    <w:rsid w:val="2ACB01D7"/>
    <w:rsid w:val="2AE61515"/>
    <w:rsid w:val="2AEA2DB3"/>
    <w:rsid w:val="2AEC6B2B"/>
    <w:rsid w:val="2AED28A3"/>
    <w:rsid w:val="2B073965"/>
    <w:rsid w:val="2B17347C"/>
    <w:rsid w:val="2B1B2FFD"/>
    <w:rsid w:val="2B200583"/>
    <w:rsid w:val="2B253DEB"/>
    <w:rsid w:val="2B4A44C1"/>
    <w:rsid w:val="2B5E554F"/>
    <w:rsid w:val="2B717030"/>
    <w:rsid w:val="2B836D64"/>
    <w:rsid w:val="2B86406E"/>
    <w:rsid w:val="2B936FA7"/>
    <w:rsid w:val="2B990335"/>
    <w:rsid w:val="2BA94A1C"/>
    <w:rsid w:val="2BB1567F"/>
    <w:rsid w:val="2BCB6ACF"/>
    <w:rsid w:val="2BE72804"/>
    <w:rsid w:val="2BEE68D3"/>
    <w:rsid w:val="2C02412C"/>
    <w:rsid w:val="2C11436F"/>
    <w:rsid w:val="2C153E60"/>
    <w:rsid w:val="2C1B0D4A"/>
    <w:rsid w:val="2C484235"/>
    <w:rsid w:val="2C4F3FF2"/>
    <w:rsid w:val="2C5524AE"/>
    <w:rsid w:val="2C6D5A4A"/>
    <w:rsid w:val="2C7963E8"/>
    <w:rsid w:val="2C7D1A05"/>
    <w:rsid w:val="2C7E7C57"/>
    <w:rsid w:val="2C8142B0"/>
    <w:rsid w:val="2C842D93"/>
    <w:rsid w:val="2C8B5ED0"/>
    <w:rsid w:val="2C8D7E9A"/>
    <w:rsid w:val="2C8E59C0"/>
    <w:rsid w:val="2C9C632F"/>
    <w:rsid w:val="2CB573F1"/>
    <w:rsid w:val="2CB87D05"/>
    <w:rsid w:val="2CCB2770"/>
    <w:rsid w:val="2CFA3055"/>
    <w:rsid w:val="2D0D2D89"/>
    <w:rsid w:val="2D104627"/>
    <w:rsid w:val="2D2A56E9"/>
    <w:rsid w:val="2D472A46"/>
    <w:rsid w:val="2D4E3A9B"/>
    <w:rsid w:val="2D542766"/>
    <w:rsid w:val="2D5B1D46"/>
    <w:rsid w:val="2D686211"/>
    <w:rsid w:val="2D6D2859"/>
    <w:rsid w:val="2D964B2C"/>
    <w:rsid w:val="2D990AC0"/>
    <w:rsid w:val="2DA74F8B"/>
    <w:rsid w:val="2DBD47AF"/>
    <w:rsid w:val="2DC83C90"/>
    <w:rsid w:val="2DD13DB6"/>
    <w:rsid w:val="2DD37B2E"/>
    <w:rsid w:val="2DDD275B"/>
    <w:rsid w:val="2DF31F7F"/>
    <w:rsid w:val="2DFF6B75"/>
    <w:rsid w:val="2E1D6FFC"/>
    <w:rsid w:val="2E1E4B22"/>
    <w:rsid w:val="2E1E6DD8"/>
    <w:rsid w:val="2E2760CC"/>
    <w:rsid w:val="2E2E1209"/>
    <w:rsid w:val="2E304F81"/>
    <w:rsid w:val="2E3A7BAD"/>
    <w:rsid w:val="2E4E18AB"/>
    <w:rsid w:val="2E5C5D76"/>
    <w:rsid w:val="2E5D389C"/>
    <w:rsid w:val="2E5F13C2"/>
    <w:rsid w:val="2E666BF4"/>
    <w:rsid w:val="2E67296D"/>
    <w:rsid w:val="2E6D7F83"/>
    <w:rsid w:val="2E7A444E"/>
    <w:rsid w:val="2E861045"/>
    <w:rsid w:val="2EAD65D1"/>
    <w:rsid w:val="2EAF6BF3"/>
    <w:rsid w:val="2EBA6F40"/>
    <w:rsid w:val="2ED10AFD"/>
    <w:rsid w:val="2ED27DE6"/>
    <w:rsid w:val="2EE856A7"/>
    <w:rsid w:val="2EE95130"/>
    <w:rsid w:val="2EF02962"/>
    <w:rsid w:val="2EF22236"/>
    <w:rsid w:val="2EF97A69"/>
    <w:rsid w:val="2EFA733D"/>
    <w:rsid w:val="2F0B32F8"/>
    <w:rsid w:val="2F283EAA"/>
    <w:rsid w:val="2F2D14C0"/>
    <w:rsid w:val="2F320885"/>
    <w:rsid w:val="2F397E65"/>
    <w:rsid w:val="2F3A3BDD"/>
    <w:rsid w:val="2F4131BE"/>
    <w:rsid w:val="2F4A14FC"/>
    <w:rsid w:val="2F4F0662"/>
    <w:rsid w:val="2F5729E1"/>
    <w:rsid w:val="2F594063"/>
    <w:rsid w:val="2F662C24"/>
    <w:rsid w:val="2F7964B4"/>
    <w:rsid w:val="2F923A19"/>
    <w:rsid w:val="2F9652B7"/>
    <w:rsid w:val="2FA31782"/>
    <w:rsid w:val="2FAC4ADB"/>
    <w:rsid w:val="2FB35E69"/>
    <w:rsid w:val="2FB614B6"/>
    <w:rsid w:val="2FC260AC"/>
    <w:rsid w:val="2FCE2CA3"/>
    <w:rsid w:val="2FD47B8E"/>
    <w:rsid w:val="2FE222AB"/>
    <w:rsid w:val="2FE34275"/>
    <w:rsid w:val="2FED29FE"/>
    <w:rsid w:val="2FED3DE1"/>
    <w:rsid w:val="300264A9"/>
    <w:rsid w:val="300C37CC"/>
    <w:rsid w:val="30386386"/>
    <w:rsid w:val="30450A8C"/>
    <w:rsid w:val="30550CCF"/>
    <w:rsid w:val="305667F5"/>
    <w:rsid w:val="307355F9"/>
    <w:rsid w:val="309335A5"/>
    <w:rsid w:val="30977539"/>
    <w:rsid w:val="309D2676"/>
    <w:rsid w:val="30AA08EF"/>
    <w:rsid w:val="30AB6B41"/>
    <w:rsid w:val="30AF69B0"/>
    <w:rsid w:val="30B33C47"/>
    <w:rsid w:val="30C82639"/>
    <w:rsid w:val="30D876B3"/>
    <w:rsid w:val="30DA4B38"/>
    <w:rsid w:val="30F5293C"/>
    <w:rsid w:val="31010E56"/>
    <w:rsid w:val="31083F93"/>
    <w:rsid w:val="312468F3"/>
    <w:rsid w:val="31374878"/>
    <w:rsid w:val="314131F4"/>
    <w:rsid w:val="315F16D9"/>
    <w:rsid w:val="316A69FC"/>
    <w:rsid w:val="317433D6"/>
    <w:rsid w:val="31921AAF"/>
    <w:rsid w:val="319E48F7"/>
    <w:rsid w:val="31A16195"/>
    <w:rsid w:val="31AB2B70"/>
    <w:rsid w:val="31BB1005"/>
    <w:rsid w:val="31D9148B"/>
    <w:rsid w:val="31DE4CF4"/>
    <w:rsid w:val="31E542D4"/>
    <w:rsid w:val="31E7004C"/>
    <w:rsid w:val="31E83DC4"/>
    <w:rsid w:val="31EC5663"/>
    <w:rsid w:val="32052280"/>
    <w:rsid w:val="320D55D9"/>
    <w:rsid w:val="32130E41"/>
    <w:rsid w:val="32193F7E"/>
    <w:rsid w:val="322070BA"/>
    <w:rsid w:val="32252923"/>
    <w:rsid w:val="32335040"/>
    <w:rsid w:val="32427031"/>
    <w:rsid w:val="32562ADC"/>
    <w:rsid w:val="32582CF8"/>
    <w:rsid w:val="325D3E6B"/>
    <w:rsid w:val="326E7E26"/>
    <w:rsid w:val="32911D66"/>
    <w:rsid w:val="32E12CEE"/>
    <w:rsid w:val="32E91BA2"/>
    <w:rsid w:val="32F32A21"/>
    <w:rsid w:val="33022C64"/>
    <w:rsid w:val="33095DA0"/>
    <w:rsid w:val="330E33B7"/>
    <w:rsid w:val="335079DD"/>
    <w:rsid w:val="33633703"/>
    <w:rsid w:val="336851BD"/>
    <w:rsid w:val="33775400"/>
    <w:rsid w:val="338418CB"/>
    <w:rsid w:val="338B0EAB"/>
    <w:rsid w:val="338B4A07"/>
    <w:rsid w:val="33A1422B"/>
    <w:rsid w:val="33A8793A"/>
    <w:rsid w:val="3402116D"/>
    <w:rsid w:val="341D71C9"/>
    <w:rsid w:val="3422536C"/>
    <w:rsid w:val="342F7A89"/>
    <w:rsid w:val="344F012B"/>
    <w:rsid w:val="345435AA"/>
    <w:rsid w:val="346F257B"/>
    <w:rsid w:val="34733E19"/>
    <w:rsid w:val="348F22D5"/>
    <w:rsid w:val="3490033B"/>
    <w:rsid w:val="34983880"/>
    <w:rsid w:val="349E2F7E"/>
    <w:rsid w:val="34B41D3C"/>
    <w:rsid w:val="34C017F7"/>
    <w:rsid w:val="34C53F49"/>
    <w:rsid w:val="34D523DE"/>
    <w:rsid w:val="34D66156"/>
    <w:rsid w:val="34E00D83"/>
    <w:rsid w:val="34EB7E53"/>
    <w:rsid w:val="34EE16F2"/>
    <w:rsid w:val="35066A3B"/>
    <w:rsid w:val="351078BA"/>
    <w:rsid w:val="351D5B33"/>
    <w:rsid w:val="35225F43"/>
    <w:rsid w:val="35327830"/>
    <w:rsid w:val="35447564"/>
    <w:rsid w:val="354675F7"/>
    <w:rsid w:val="3555351F"/>
    <w:rsid w:val="355C2AFF"/>
    <w:rsid w:val="355C48AD"/>
    <w:rsid w:val="355C60E1"/>
    <w:rsid w:val="356B4AF0"/>
    <w:rsid w:val="357065AB"/>
    <w:rsid w:val="358E4729"/>
    <w:rsid w:val="35936142"/>
    <w:rsid w:val="35C81F43"/>
    <w:rsid w:val="35CF507F"/>
    <w:rsid w:val="35DE52C2"/>
    <w:rsid w:val="35E11256"/>
    <w:rsid w:val="35F1149A"/>
    <w:rsid w:val="35F965A0"/>
    <w:rsid w:val="361A2073"/>
    <w:rsid w:val="36455341"/>
    <w:rsid w:val="36462E68"/>
    <w:rsid w:val="364C66D0"/>
    <w:rsid w:val="3651512A"/>
    <w:rsid w:val="366F4CB5"/>
    <w:rsid w:val="36877708"/>
    <w:rsid w:val="36AA33F6"/>
    <w:rsid w:val="36B9188B"/>
    <w:rsid w:val="36C00E6C"/>
    <w:rsid w:val="36C941C4"/>
    <w:rsid w:val="36C95F72"/>
    <w:rsid w:val="36D6068F"/>
    <w:rsid w:val="36DE12F2"/>
    <w:rsid w:val="36DE21C1"/>
    <w:rsid w:val="370E1BD7"/>
    <w:rsid w:val="3710594F"/>
    <w:rsid w:val="371D1E1A"/>
    <w:rsid w:val="371D62BE"/>
    <w:rsid w:val="3724764D"/>
    <w:rsid w:val="373D426B"/>
    <w:rsid w:val="37427AD3"/>
    <w:rsid w:val="375B2943"/>
    <w:rsid w:val="375C6DE7"/>
    <w:rsid w:val="376143FD"/>
    <w:rsid w:val="37623CD1"/>
    <w:rsid w:val="379540A7"/>
    <w:rsid w:val="37A47721"/>
    <w:rsid w:val="37AA77BC"/>
    <w:rsid w:val="37B87D95"/>
    <w:rsid w:val="37BA1D5F"/>
    <w:rsid w:val="37D03331"/>
    <w:rsid w:val="37DD15AA"/>
    <w:rsid w:val="37E1553E"/>
    <w:rsid w:val="37E74B44"/>
    <w:rsid w:val="37EA43F2"/>
    <w:rsid w:val="37EE37B7"/>
    <w:rsid w:val="37FC2378"/>
    <w:rsid w:val="38194CD8"/>
    <w:rsid w:val="383F0A8C"/>
    <w:rsid w:val="38402264"/>
    <w:rsid w:val="38591578"/>
    <w:rsid w:val="385C4BC4"/>
    <w:rsid w:val="386C12AB"/>
    <w:rsid w:val="386F66A6"/>
    <w:rsid w:val="38740160"/>
    <w:rsid w:val="3891486E"/>
    <w:rsid w:val="38B467AE"/>
    <w:rsid w:val="38BD1B07"/>
    <w:rsid w:val="38C31254"/>
    <w:rsid w:val="38D155B2"/>
    <w:rsid w:val="38D330D8"/>
    <w:rsid w:val="38D96215"/>
    <w:rsid w:val="38E2156D"/>
    <w:rsid w:val="38EF77E6"/>
    <w:rsid w:val="38F247D2"/>
    <w:rsid w:val="38F66DC7"/>
    <w:rsid w:val="38F95634"/>
    <w:rsid w:val="3916629D"/>
    <w:rsid w:val="391A4241"/>
    <w:rsid w:val="391B4A7F"/>
    <w:rsid w:val="39227BBC"/>
    <w:rsid w:val="39290F4A"/>
    <w:rsid w:val="392C4597"/>
    <w:rsid w:val="394144E6"/>
    <w:rsid w:val="395350F8"/>
    <w:rsid w:val="39535FC7"/>
    <w:rsid w:val="39616936"/>
    <w:rsid w:val="39657AA9"/>
    <w:rsid w:val="39754AB6"/>
    <w:rsid w:val="39AB7BB1"/>
    <w:rsid w:val="39DD3AE3"/>
    <w:rsid w:val="39E76710"/>
    <w:rsid w:val="39E906DA"/>
    <w:rsid w:val="39EE5CF0"/>
    <w:rsid w:val="39F37BA8"/>
    <w:rsid w:val="3A10210A"/>
    <w:rsid w:val="3A184B1B"/>
    <w:rsid w:val="3A395142"/>
    <w:rsid w:val="3A4D2A17"/>
    <w:rsid w:val="3A5F274A"/>
    <w:rsid w:val="3A9C74FA"/>
    <w:rsid w:val="3A9E14C4"/>
    <w:rsid w:val="3AA0523C"/>
    <w:rsid w:val="3AAC1E33"/>
    <w:rsid w:val="3AAC3BE1"/>
    <w:rsid w:val="3ABD5DEE"/>
    <w:rsid w:val="3ACA050B"/>
    <w:rsid w:val="3ACD1DA9"/>
    <w:rsid w:val="3B027CA5"/>
    <w:rsid w:val="3B0357CB"/>
    <w:rsid w:val="3B037579"/>
    <w:rsid w:val="3B2A71FC"/>
    <w:rsid w:val="3B675D5A"/>
    <w:rsid w:val="3B781D15"/>
    <w:rsid w:val="3B84690C"/>
    <w:rsid w:val="3B893F22"/>
    <w:rsid w:val="3B8C756F"/>
    <w:rsid w:val="3BA96372"/>
    <w:rsid w:val="3BFA4E20"/>
    <w:rsid w:val="3C005D06"/>
    <w:rsid w:val="3C0271FA"/>
    <w:rsid w:val="3C0E1025"/>
    <w:rsid w:val="3C2B6D87"/>
    <w:rsid w:val="3C4936B2"/>
    <w:rsid w:val="3C5000BD"/>
    <w:rsid w:val="3C506122"/>
    <w:rsid w:val="3C524C89"/>
    <w:rsid w:val="3C577B7C"/>
    <w:rsid w:val="3C5F3725"/>
    <w:rsid w:val="3C6A14D0"/>
    <w:rsid w:val="3C756255"/>
    <w:rsid w:val="3CB23005"/>
    <w:rsid w:val="3CB3122E"/>
    <w:rsid w:val="3CC72F54"/>
    <w:rsid w:val="3CCB2319"/>
    <w:rsid w:val="3CDD0F86"/>
    <w:rsid w:val="3CE753A4"/>
    <w:rsid w:val="3CF81BEF"/>
    <w:rsid w:val="3D0221DE"/>
    <w:rsid w:val="3D0C4E0B"/>
    <w:rsid w:val="3D0D7ADD"/>
    <w:rsid w:val="3D2F4655"/>
    <w:rsid w:val="3D314871"/>
    <w:rsid w:val="3D3305EA"/>
    <w:rsid w:val="3D3879AE"/>
    <w:rsid w:val="3D404AB5"/>
    <w:rsid w:val="3D475E43"/>
    <w:rsid w:val="3D4E5423"/>
    <w:rsid w:val="3D5B544A"/>
    <w:rsid w:val="3D5F318D"/>
    <w:rsid w:val="3D69400B"/>
    <w:rsid w:val="3D7F55DD"/>
    <w:rsid w:val="3D85696B"/>
    <w:rsid w:val="3D9848F1"/>
    <w:rsid w:val="3D9B618F"/>
    <w:rsid w:val="3DA07301"/>
    <w:rsid w:val="3DA212CB"/>
    <w:rsid w:val="3DA43295"/>
    <w:rsid w:val="3DBF1E7D"/>
    <w:rsid w:val="3DC41242"/>
    <w:rsid w:val="3DC92CFC"/>
    <w:rsid w:val="3DE73182"/>
    <w:rsid w:val="3DEFCC81"/>
    <w:rsid w:val="3DF00289"/>
    <w:rsid w:val="3DF24001"/>
    <w:rsid w:val="3DF8538F"/>
    <w:rsid w:val="3DFC53D9"/>
    <w:rsid w:val="3DFE0BF8"/>
    <w:rsid w:val="3E03620E"/>
    <w:rsid w:val="3E1A5306"/>
    <w:rsid w:val="3E3C18BD"/>
    <w:rsid w:val="3E742C68"/>
    <w:rsid w:val="3E8135D7"/>
    <w:rsid w:val="3E8D3D29"/>
    <w:rsid w:val="3EA11583"/>
    <w:rsid w:val="3EC0145C"/>
    <w:rsid w:val="3ECA6D2C"/>
    <w:rsid w:val="3ECC2AA4"/>
    <w:rsid w:val="3EE651E8"/>
    <w:rsid w:val="3F025137"/>
    <w:rsid w:val="3F040C3C"/>
    <w:rsid w:val="3F0E1972"/>
    <w:rsid w:val="3F0F0BE2"/>
    <w:rsid w:val="3F171845"/>
    <w:rsid w:val="3F2D72BA"/>
    <w:rsid w:val="3F473D96"/>
    <w:rsid w:val="3F4A39C9"/>
    <w:rsid w:val="3F4D34B9"/>
    <w:rsid w:val="3F593C0C"/>
    <w:rsid w:val="3F95733A"/>
    <w:rsid w:val="3FA7706D"/>
    <w:rsid w:val="3FAC6431"/>
    <w:rsid w:val="3FB672B0"/>
    <w:rsid w:val="3FB9598F"/>
    <w:rsid w:val="3FBB48C6"/>
    <w:rsid w:val="3FCF14AB"/>
    <w:rsid w:val="3FDD483D"/>
    <w:rsid w:val="3FE43E1D"/>
    <w:rsid w:val="3FE61943"/>
    <w:rsid w:val="3FF238F4"/>
    <w:rsid w:val="3FFEE7FB"/>
    <w:rsid w:val="40073668"/>
    <w:rsid w:val="400B3158"/>
    <w:rsid w:val="400C0C7E"/>
    <w:rsid w:val="401A783F"/>
    <w:rsid w:val="401C3EE6"/>
    <w:rsid w:val="40267F92"/>
    <w:rsid w:val="40414DCB"/>
    <w:rsid w:val="404843AC"/>
    <w:rsid w:val="404B79F8"/>
    <w:rsid w:val="40556AC9"/>
    <w:rsid w:val="406867FC"/>
    <w:rsid w:val="408E3D89"/>
    <w:rsid w:val="40A05660"/>
    <w:rsid w:val="40B03CFF"/>
    <w:rsid w:val="40B05AAD"/>
    <w:rsid w:val="40C17CBA"/>
    <w:rsid w:val="40CD48B1"/>
    <w:rsid w:val="40D914A8"/>
    <w:rsid w:val="40E13EB9"/>
    <w:rsid w:val="40E165AE"/>
    <w:rsid w:val="40EB2F89"/>
    <w:rsid w:val="40ED788E"/>
    <w:rsid w:val="41032081"/>
    <w:rsid w:val="410D1152"/>
    <w:rsid w:val="410D2F00"/>
    <w:rsid w:val="41151DB4"/>
    <w:rsid w:val="411C1395"/>
    <w:rsid w:val="41281981"/>
    <w:rsid w:val="41287D39"/>
    <w:rsid w:val="412B26A5"/>
    <w:rsid w:val="412D6568"/>
    <w:rsid w:val="413B5CBF"/>
    <w:rsid w:val="41466412"/>
    <w:rsid w:val="414F3518"/>
    <w:rsid w:val="41597EF3"/>
    <w:rsid w:val="416D399E"/>
    <w:rsid w:val="417411D1"/>
    <w:rsid w:val="4182569C"/>
    <w:rsid w:val="4185518C"/>
    <w:rsid w:val="41990C37"/>
    <w:rsid w:val="41992059"/>
    <w:rsid w:val="41A75102"/>
    <w:rsid w:val="41B415CD"/>
    <w:rsid w:val="41E9396D"/>
    <w:rsid w:val="41F63994"/>
    <w:rsid w:val="41FA2085"/>
    <w:rsid w:val="4226071D"/>
    <w:rsid w:val="4242307D"/>
    <w:rsid w:val="424566C9"/>
    <w:rsid w:val="424B3CDF"/>
    <w:rsid w:val="427C033D"/>
    <w:rsid w:val="427F7E2D"/>
    <w:rsid w:val="428B4A24"/>
    <w:rsid w:val="428E0070"/>
    <w:rsid w:val="4292190E"/>
    <w:rsid w:val="42A20A61"/>
    <w:rsid w:val="42A67168"/>
    <w:rsid w:val="42C817D4"/>
    <w:rsid w:val="42C85330"/>
    <w:rsid w:val="42D31F27"/>
    <w:rsid w:val="42D633EC"/>
    <w:rsid w:val="42E12896"/>
    <w:rsid w:val="42E858C4"/>
    <w:rsid w:val="4311364B"/>
    <w:rsid w:val="43282273"/>
    <w:rsid w:val="432E3DDB"/>
    <w:rsid w:val="433E0203"/>
    <w:rsid w:val="434A21E9"/>
    <w:rsid w:val="43544E16"/>
    <w:rsid w:val="43667B96"/>
    <w:rsid w:val="436A288B"/>
    <w:rsid w:val="43705100"/>
    <w:rsid w:val="437445E4"/>
    <w:rsid w:val="437C611B"/>
    <w:rsid w:val="4383394D"/>
    <w:rsid w:val="43994F1E"/>
    <w:rsid w:val="43B12268"/>
    <w:rsid w:val="43B458B4"/>
    <w:rsid w:val="43B9736F"/>
    <w:rsid w:val="43BB6C43"/>
    <w:rsid w:val="43BE4985"/>
    <w:rsid w:val="43D67F21"/>
    <w:rsid w:val="43EF0FE2"/>
    <w:rsid w:val="43F565F9"/>
    <w:rsid w:val="442347E8"/>
    <w:rsid w:val="444B446B"/>
    <w:rsid w:val="44692B43"/>
    <w:rsid w:val="448434D9"/>
    <w:rsid w:val="44AD6168"/>
    <w:rsid w:val="44B32010"/>
    <w:rsid w:val="44BC0EC5"/>
    <w:rsid w:val="44C4421D"/>
    <w:rsid w:val="44D73F50"/>
    <w:rsid w:val="44EB17AA"/>
    <w:rsid w:val="450665E4"/>
    <w:rsid w:val="45156827"/>
    <w:rsid w:val="451A5F22"/>
    <w:rsid w:val="45343151"/>
    <w:rsid w:val="453E5D7D"/>
    <w:rsid w:val="455235D7"/>
    <w:rsid w:val="456F5F37"/>
    <w:rsid w:val="45723C79"/>
    <w:rsid w:val="458A2D71"/>
    <w:rsid w:val="459D348E"/>
    <w:rsid w:val="45A55DFD"/>
    <w:rsid w:val="45DB537A"/>
    <w:rsid w:val="45E22BAD"/>
    <w:rsid w:val="45F11042"/>
    <w:rsid w:val="4609638B"/>
    <w:rsid w:val="460A5C60"/>
    <w:rsid w:val="4613530C"/>
    <w:rsid w:val="461865CE"/>
    <w:rsid w:val="4622744D"/>
    <w:rsid w:val="462C207A"/>
    <w:rsid w:val="465810C1"/>
    <w:rsid w:val="469F284C"/>
    <w:rsid w:val="46B04A59"/>
    <w:rsid w:val="46B362F7"/>
    <w:rsid w:val="46BD2CD2"/>
    <w:rsid w:val="46CE1383"/>
    <w:rsid w:val="46D21C8C"/>
    <w:rsid w:val="46D324F5"/>
    <w:rsid w:val="47024B89"/>
    <w:rsid w:val="471A1ED2"/>
    <w:rsid w:val="471F398D"/>
    <w:rsid w:val="472C640A"/>
    <w:rsid w:val="473A7D66"/>
    <w:rsid w:val="47430630"/>
    <w:rsid w:val="47721D0E"/>
    <w:rsid w:val="478E35A7"/>
    <w:rsid w:val="47AB5220"/>
    <w:rsid w:val="47AB6FCE"/>
    <w:rsid w:val="47B42327"/>
    <w:rsid w:val="47BB1907"/>
    <w:rsid w:val="47CB7671"/>
    <w:rsid w:val="47CF7161"/>
    <w:rsid w:val="47DD7AD0"/>
    <w:rsid w:val="47F22E4F"/>
    <w:rsid w:val="480768FB"/>
    <w:rsid w:val="480A0199"/>
    <w:rsid w:val="48223734"/>
    <w:rsid w:val="483671E0"/>
    <w:rsid w:val="48403BBB"/>
    <w:rsid w:val="48587156"/>
    <w:rsid w:val="485B6C46"/>
    <w:rsid w:val="48621D83"/>
    <w:rsid w:val="4867383D"/>
    <w:rsid w:val="487877F8"/>
    <w:rsid w:val="48952158"/>
    <w:rsid w:val="48BA1BBF"/>
    <w:rsid w:val="48BF2D31"/>
    <w:rsid w:val="48C60564"/>
    <w:rsid w:val="48D16F09"/>
    <w:rsid w:val="48D80297"/>
    <w:rsid w:val="48DB1B35"/>
    <w:rsid w:val="48DB38E3"/>
    <w:rsid w:val="48E7672C"/>
    <w:rsid w:val="48F0738F"/>
    <w:rsid w:val="48F30C2D"/>
    <w:rsid w:val="48FF75D2"/>
    <w:rsid w:val="49042E3A"/>
    <w:rsid w:val="49107A31"/>
    <w:rsid w:val="49170DBF"/>
    <w:rsid w:val="49211C3E"/>
    <w:rsid w:val="492E6109"/>
    <w:rsid w:val="49425710"/>
    <w:rsid w:val="496B4C67"/>
    <w:rsid w:val="496F29A9"/>
    <w:rsid w:val="497A30FC"/>
    <w:rsid w:val="497A75A0"/>
    <w:rsid w:val="49861AA1"/>
    <w:rsid w:val="499109DF"/>
    <w:rsid w:val="49C600F0"/>
    <w:rsid w:val="49CB179D"/>
    <w:rsid w:val="49CC7DFC"/>
    <w:rsid w:val="4A0D425E"/>
    <w:rsid w:val="4A1F456A"/>
    <w:rsid w:val="4A477482"/>
    <w:rsid w:val="4A6C513B"/>
    <w:rsid w:val="4A9106FD"/>
    <w:rsid w:val="4A9C640D"/>
    <w:rsid w:val="4AA30431"/>
    <w:rsid w:val="4AB16FF2"/>
    <w:rsid w:val="4ABC3301"/>
    <w:rsid w:val="4AC00FE3"/>
    <w:rsid w:val="4AC40AD3"/>
    <w:rsid w:val="4ACF529D"/>
    <w:rsid w:val="4AE50A49"/>
    <w:rsid w:val="4AFD3FE5"/>
    <w:rsid w:val="4B06733D"/>
    <w:rsid w:val="4B1650A7"/>
    <w:rsid w:val="4B221C9D"/>
    <w:rsid w:val="4B2C48CA"/>
    <w:rsid w:val="4B2E419E"/>
    <w:rsid w:val="4B321EE0"/>
    <w:rsid w:val="4B441C14"/>
    <w:rsid w:val="4B46773A"/>
    <w:rsid w:val="4B577B99"/>
    <w:rsid w:val="4B5C0D0B"/>
    <w:rsid w:val="4B6573C5"/>
    <w:rsid w:val="4B773D97"/>
    <w:rsid w:val="4B8464B4"/>
    <w:rsid w:val="4B887D52"/>
    <w:rsid w:val="4BAB3A41"/>
    <w:rsid w:val="4BB05F5F"/>
    <w:rsid w:val="4BB70638"/>
    <w:rsid w:val="4BBC63E0"/>
    <w:rsid w:val="4BBF1D3E"/>
    <w:rsid w:val="4BCE14DD"/>
    <w:rsid w:val="4BCF5981"/>
    <w:rsid w:val="4BD765E4"/>
    <w:rsid w:val="4BD9235C"/>
    <w:rsid w:val="4BDF7F00"/>
    <w:rsid w:val="4BEB6533"/>
    <w:rsid w:val="4C003D8D"/>
    <w:rsid w:val="4C107D48"/>
    <w:rsid w:val="4C1E2465"/>
    <w:rsid w:val="4C286E40"/>
    <w:rsid w:val="4C2D08FA"/>
    <w:rsid w:val="4C3457E4"/>
    <w:rsid w:val="4C3677AE"/>
    <w:rsid w:val="4C612351"/>
    <w:rsid w:val="4C6205A3"/>
    <w:rsid w:val="4C6E50DF"/>
    <w:rsid w:val="4C7E4CB1"/>
    <w:rsid w:val="4C820C46"/>
    <w:rsid w:val="4CAC181F"/>
    <w:rsid w:val="4CAD5597"/>
    <w:rsid w:val="4CBE1552"/>
    <w:rsid w:val="4CD34FFD"/>
    <w:rsid w:val="4CF11927"/>
    <w:rsid w:val="4D0A4797"/>
    <w:rsid w:val="4D0C050F"/>
    <w:rsid w:val="4D0F7FFF"/>
    <w:rsid w:val="4D1675E0"/>
    <w:rsid w:val="4D244CBF"/>
    <w:rsid w:val="4D2515D1"/>
    <w:rsid w:val="4D275349"/>
    <w:rsid w:val="4D330192"/>
    <w:rsid w:val="4D5F4AE3"/>
    <w:rsid w:val="4D6D36A4"/>
    <w:rsid w:val="4D7B7443"/>
    <w:rsid w:val="4D834C75"/>
    <w:rsid w:val="4D84279B"/>
    <w:rsid w:val="4D9549A9"/>
    <w:rsid w:val="4DAB5F7A"/>
    <w:rsid w:val="4DB72B71"/>
    <w:rsid w:val="4E061402"/>
    <w:rsid w:val="4E0B07C7"/>
    <w:rsid w:val="4E2C0965"/>
    <w:rsid w:val="4E320449"/>
    <w:rsid w:val="4E54216E"/>
    <w:rsid w:val="4E630603"/>
    <w:rsid w:val="4E724CEA"/>
    <w:rsid w:val="4E797E26"/>
    <w:rsid w:val="4E807407"/>
    <w:rsid w:val="4E8F31A6"/>
    <w:rsid w:val="4EA2737D"/>
    <w:rsid w:val="4EAC01FC"/>
    <w:rsid w:val="4EAF3848"/>
    <w:rsid w:val="4EC372F3"/>
    <w:rsid w:val="4EC77638"/>
    <w:rsid w:val="4EE1460B"/>
    <w:rsid w:val="4EE24A9B"/>
    <w:rsid w:val="4EEC05F8"/>
    <w:rsid w:val="4EF83441"/>
    <w:rsid w:val="4F323738"/>
    <w:rsid w:val="4F3D2C02"/>
    <w:rsid w:val="4F652159"/>
    <w:rsid w:val="4F7B372A"/>
    <w:rsid w:val="4F8E16AF"/>
    <w:rsid w:val="4F9048D5"/>
    <w:rsid w:val="4F952A3E"/>
    <w:rsid w:val="4FA90297"/>
    <w:rsid w:val="4FB355BA"/>
    <w:rsid w:val="4FB629B4"/>
    <w:rsid w:val="4FD01DB4"/>
    <w:rsid w:val="4FF43C08"/>
    <w:rsid w:val="4FFD05E3"/>
    <w:rsid w:val="502A587C"/>
    <w:rsid w:val="503E6C32"/>
    <w:rsid w:val="506F14E1"/>
    <w:rsid w:val="507B7E86"/>
    <w:rsid w:val="50812371"/>
    <w:rsid w:val="508A631B"/>
    <w:rsid w:val="50AA076B"/>
    <w:rsid w:val="50AA2519"/>
    <w:rsid w:val="50B213CE"/>
    <w:rsid w:val="50B769E4"/>
    <w:rsid w:val="50BB0282"/>
    <w:rsid w:val="50BF63F5"/>
    <w:rsid w:val="50D253CB"/>
    <w:rsid w:val="50D92DFE"/>
    <w:rsid w:val="50E73D13"/>
    <w:rsid w:val="50F80683"/>
    <w:rsid w:val="511107EA"/>
    <w:rsid w:val="51257DF2"/>
    <w:rsid w:val="51277EC3"/>
    <w:rsid w:val="51426BF5"/>
    <w:rsid w:val="515B1A65"/>
    <w:rsid w:val="51644DBE"/>
    <w:rsid w:val="516F72BF"/>
    <w:rsid w:val="51713037"/>
    <w:rsid w:val="517F5754"/>
    <w:rsid w:val="518965D2"/>
    <w:rsid w:val="518A6DD5"/>
    <w:rsid w:val="519311FF"/>
    <w:rsid w:val="51A46F68"/>
    <w:rsid w:val="51C65734"/>
    <w:rsid w:val="51D3784E"/>
    <w:rsid w:val="51E952C3"/>
    <w:rsid w:val="52036385"/>
    <w:rsid w:val="52106D74"/>
    <w:rsid w:val="52187956"/>
    <w:rsid w:val="521A547C"/>
    <w:rsid w:val="521C3172"/>
    <w:rsid w:val="522307D5"/>
    <w:rsid w:val="52262073"/>
    <w:rsid w:val="52287B99"/>
    <w:rsid w:val="52416EAD"/>
    <w:rsid w:val="525A7F6F"/>
    <w:rsid w:val="525C3CE7"/>
    <w:rsid w:val="525C5A95"/>
    <w:rsid w:val="52666914"/>
    <w:rsid w:val="526D7CA2"/>
    <w:rsid w:val="52727066"/>
    <w:rsid w:val="5285323E"/>
    <w:rsid w:val="52884ADC"/>
    <w:rsid w:val="5290573F"/>
    <w:rsid w:val="5294522F"/>
    <w:rsid w:val="52950FA7"/>
    <w:rsid w:val="529F2E40"/>
    <w:rsid w:val="529F5982"/>
    <w:rsid w:val="52A5743C"/>
    <w:rsid w:val="52B7716F"/>
    <w:rsid w:val="52D4387D"/>
    <w:rsid w:val="52D63A99"/>
    <w:rsid w:val="52EC506B"/>
    <w:rsid w:val="52F263F9"/>
    <w:rsid w:val="52FC4B82"/>
    <w:rsid w:val="530F0D59"/>
    <w:rsid w:val="531E0F9C"/>
    <w:rsid w:val="5325057D"/>
    <w:rsid w:val="532644A8"/>
    <w:rsid w:val="532F4F57"/>
    <w:rsid w:val="534C5B09"/>
    <w:rsid w:val="534E1882"/>
    <w:rsid w:val="535624E4"/>
    <w:rsid w:val="535E75EB"/>
    <w:rsid w:val="536270DB"/>
    <w:rsid w:val="53762B86"/>
    <w:rsid w:val="53A5521A"/>
    <w:rsid w:val="53AB1EBF"/>
    <w:rsid w:val="53B4545D"/>
    <w:rsid w:val="53B67427"/>
    <w:rsid w:val="53F00B8B"/>
    <w:rsid w:val="53F1220D"/>
    <w:rsid w:val="54040192"/>
    <w:rsid w:val="54065CB8"/>
    <w:rsid w:val="540A2F59"/>
    <w:rsid w:val="541A1764"/>
    <w:rsid w:val="54224844"/>
    <w:rsid w:val="542720D3"/>
    <w:rsid w:val="542D1CD6"/>
    <w:rsid w:val="54413194"/>
    <w:rsid w:val="54465292"/>
    <w:rsid w:val="544F3B03"/>
    <w:rsid w:val="54547DDA"/>
    <w:rsid w:val="545729B8"/>
    <w:rsid w:val="54684BC5"/>
    <w:rsid w:val="547E00EE"/>
    <w:rsid w:val="549E05E7"/>
    <w:rsid w:val="549F610D"/>
    <w:rsid w:val="54A343F4"/>
    <w:rsid w:val="54B5148C"/>
    <w:rsid w:val="54B73456"/>
    <w:rsid w:val="54B92B9F"/>
    <w:rsid w:val="54D44008"/>
    <w:rsid w:val="54DB2C87"/>
    <w:rsid w:val="54E12281"/>
    <w:rsid w:val="54F41FB5"/>
    <w:rsid w:val="54FC355F"/>
    <w:rsid w:val="55006BAB"/>
    <w:rsid w:val="5503567D"/>
    <w:rsid w:val="550B72FE"/>
    <w:rsid w:val="552503C0"/>
    <w:rsid w:val="552A6E5F"/>
    <w:rsid w:val="552A7962"/>
    <w:rsid w:val="55313209"/>
    <w:rsid w:val="5543118E"/>
    <w:rsid w:val="554A4341"/>
    <w:rsid w:val="554F7B33"/>
    <w:rsid w:val="555D2250"/>
    <w:rsid w:val="55816DF8"/>
    <w:rsid w:val="558F1CDD"/>
    <w:rsid w:val="55A0213D"/>
    <w:rsid w:val="55C53951"/>
    <w:rsid w:val="55DD513F"/>
    <w:rsid w:val="55F12998"/>
    <w:rsid w:val="55FA184D"/>
    <w:rsid w:val="560C1580"/>
    <w:rsid w:val="561D378D"/>
    <w:rsid w:val="562119FF"/>
    <w:rsid w:val="56270168"/>
    <w:rsid w:val="562E43AD"/>
    <w:rsid w:val="562E7748"/>
    <w:rsid w:val="5640122A"/>
    <w:rsid w:val="56430BF0"/>
    <w:rsid w:val="564927D4"/>
    <w:rsid w:val="56496330"/>
    <w:rsid w:val="564F3646"/>
    <w:rsid w:val="565F1859"/>
    <w:rsid w:val="567315FF"/>
    <w:rsid w:val="567A298E"/>
    <w:rsid w:val="56A21BC1"/>
    <w:rsid w:val="56A63783"/>
    <w:rsid w:val="56C50A07"/>
    <w:rsid w:val="56C8194B"/>
    <w:rsid w:val="56CA56C3"/>
    <w:rsid w:val="56E04EE6"/>
    <w:rsid w:val="56F02FEC"/>
    <w:rsid w:val="56FE711B"/>
    <w:rsid w:val="570B6771"/>
    <w:rsid w:val="57160908"/>
    <w:rsid w:val="571C5DB6"/>
    <w:rsid w:val="57376AD1"/>
    <w:rsid w:val="57454D4A"/>
    <w:rsid w:val="57601B83"/>
    <w:rsid w:val="576158FB"/>
    <w:rsid w:val="57623B4D"/>
    <w:rsid w:val="577218B7"/>
    <w:rsid w:val="578A6CD9"/>
    <w:rsid w:val="57A53A3A"/>
    <w:rsid w:val="57A71560"/>
    <w:rsid w:val="57AC6B77"/>
    <w:rsid w:val="57CD7084"/>
    <w:rsid w:val="57CE11E3"/>
    <w:rsid w:val="57E427B4"/>
    <w:rsid w:val="57FBF5D0"/>
    <w:rsid w:val="5822790B"/>
    <w:rsid w:val="583152CE"/>
    <w:rsid w:val="58340C31"/>
    <w:rsid w:val="583A0626"/>
    <w:rsid w:val="584414A5"/>
    <w:rsid w:val="58533496"/>
    <w:rsid w:val="58555460"/>
    <w:rsid w:val="585A2A77"/>
    <w:rsid w:val="588B0E82"/>
    <w:rsid w:val="58900246"/>
    <w:rsid w:val="589A2E73"/>
    <w:rsid w:val="58C148A4"/>
    <w:rsid w:val="58D02D39"/>
    <w:rsid w:val="58DF3A45"/>
    <w:rsid w:val="58E660B8"/>
    <w:rsid w:val="58F20F01"/>
    <w:rsid w:val="58FA7DB6"/>
    <w:rsid w:val="58FB6FBC"/>
    <w:rsid w:val="58FC3B2E"/>
    <w:rsid w:val="590824D3"/>
    <w:rsid w:val="59091DA7"/>
    <w:rsid w:val="590D1897"/>
    <w:rsid w:val="5927664D"/>
    <w:rsid w:val="59376914"/>
    <w:rsid w:val="59457283"/>
    <w:rsid w:val="59722042"/>
    <w:rsid w:val="59837DAB"/>
    <w:rsid w:val="59861649"/>
    <w:rsid w:val="59875AED"/>
    <w:rsid w:val="59907C63"/>
    <w:rsid w:val="599124C8"/>
    <w:rsid w:val="59C05689"/>
    <w:rsid w:val="59C56616"/>
    <w:rsid w:val="59DB7BE7"/>
    <w:rsid w:val="59DD74BB"/>
    <w:rsid w:val="59E44CEE"/>
    <w:rsid w:val="59E720E8"/>
    <w:rsid w:val="5A0053F8"/>
    <w:rsid w:val="5A0233C6"/>
    <w:rsid w:val="5A0C1B4F"/>
    <w:rsid w:val="5A0C5FF2"/>
    <w:rsid w:val="5A2450EA"/>
    <w:rsid w:val="5A307F33"/>
    <w:rsid w:val="5A3E3CD2"/>
    <w:rsid w:val="5A5A6D5E"/>
    <w:rsid w:val="5A684F0C"/>
    <w:rsid w:val="5A6B0418"/>
    <w:rsid w:val="5A6E2809"/>
    <w:rsid w:val="5A821E11"/>
    <w:rsid w:val="5A9304C2"/>
    <w:rsid w:val="5A9A1850"/>
    <w:rsid w:val="5AB0028C"/>
    <w:rsid w:val="5AB346C0"/>
    <w:rsid w:val="5AC661A1"/>
    <w:rsid w:val="5AD848C7"/>
    <w:rsid w:val="5AE1122D"/>
    <w:rsid w:val="5AF54CD9"/>
    <w:rsid w:val="5AF745AD"/>
    <w:rsid w:val="5AFE1DDF"/>
    <w:rsid w:val="5B0259D1"/>
    <w:rsid w:val="5B1D091E"/>
    <w:rsid w:val="5B394BC5"/>
    <w:rsid w:val="5B575D5D"/>
    <w:rsid w:val="5B5A2D8E"/>
    <w:rsid w:val="5B70435F"/>
    <w:rsid w:val="5B793214"/>
    <w:rsid w:val="5B7C0F56"/>
    <w:rsid w:val="5B9653AB"/>
    <w:rsid w:val="5BBC1352"/>
    <w:rsid w:val="5BC85F49"/>
    <w:rsid w:val="5BCA3A6F"/>
    <w:rsid w:val="5BD668B8"/>
    <w:rsid w:val="5BDB7A2A"/>
    <w:rsid w:val="5BEC7E8A"/>
    <w:rsid w:val="5BF154A0"/>
    <w:rsid w:val="5BFD2097"/>
    <w:rsid w:val="5C050923"/>
    <w:rsid w:val="5C05719D"/>
    <w:rsid w:val="5C0F5926"/>
    <w:rsid w:val="5C207B33"/>
    <w:rsid w:val="5C2313D1"/>
    <w:rsid w:val="5C250119"/>
    <w:rsid w:val="5C3B671B"/>
    <w:rsid w:val="5C403D31"/>
    <w:rsid w:val="5C480E38"/>
    <w:rsid w:val="5C5D2B35"/>
    <w:rsid w:val="5C693288"/>
    <w:rsid w:val="5C69772C"/>
    <w:rsid w:val="5C6A5252"/>
    <w:rsid w:val="5C6C2D78"/>
    <w:rsid w:val="5C7165E1"/>
    <w:rsid w:val="5C9522CF"/>
    <w:rsid w:val="5CA93FCD"/>
    <w:rsid w:val="5CB87D6C"/>
    <w:rsid w:val="5CC4049D"/>
    <w:rsid w:val="5CC74453"/>
    <w:rsid w:val="5CD5091E"/>
    <w:rsid w:val="5CE172C2"/>
    <w:rsid w:val="5CEC5C67"/>
    <w:rsid w:val="5CFF599B"/>
    <w:rsid w:val="5D07484F"/>
    <w:rsid w:val="5D1A6C78"/>
    <w:rsid w:val="5D3B49BA"/>
    <w:rsid w:val="5D3C274B"/>
    <w:rsid w:val="5D9E1657"/>
    <w:rsid w:val="5DBF512A"/>
    <w:rsid w:val="5DC34BFC"/>
    <w:rsid w:val="5DD010E5"/>
    <w:rsid w:val="5DDD2180"/>
    <w:rsid w:val="5DE80B25"/>
    <w:rsid w:val="5E070FAB"/>
    <w:rsid w:val="5E3E6996"/>
    <w:rsid w:val="5E581806"/>
    <w:rsid w:val="5E5D4F9F"/>
    <w:rsid w:val="5E5D6E1D"/>
    <w:rsid w:val="5E5F0DE7"/>
    <w:rsid w:val="5E653F23"/>
    <w:rsid w:val="5E68756F"/>
    <w:rsid w:val="5E7423B8"/>
    <w:rsid w:val="5E785A05"/>
    <w:rsid w:val="5E8545C5"/>
    <w:rsid w:val="5E8F2D4E"/>
    <w:rsid w:val="5E94796C"/>
    <w:rsid w:val="5E9F11E3"/>
    <w:rsid w:val="5EA04F5B"/>
    <w:rsid w:val="5EAA5DDA"/>
    <w:rsid w:val="5EC21376"/>
    <w:rsid w:val="5EE72B8A"/>
    <w:rsid w:val="5EFA466C"/>
    <w:rsid w:val="5F096FA4"/>
    <w:rsid w:val="5F2C67EF"/>
    <w:rsid w:val="5F339810"/>
    <w:rsid w:val="5F4E49B7"/>
    <w:rsid w:val="5F6B5569"/>
    <w:rsid w:val="5F6D12E1"/>
    <w:rsid w:val="5F7F56E7"/>
    <w:rsid w:val="5F84662B"/>
    <w:rsid w:val="5F893C3D"/>
    <w:rsid w:val="5F993E84"/>
    <w:rsid w:val="5FA1306E"/>
    <w:rsid w:val="5FA82319"/>
    <w:rsid w:val="5FAD16DE"/>
    <w:rsid w:val="5FAD5B82"/>
    <w:rsid w:val="5FC03B07"/>
    <w:rsid w:val="5FC66C44"/>
    <w:rsid w:val="5FCE4022"/>
    <w:rsid w:val="5FD0613A"/>
    <w:rsid w:val="5FD27396"/>
    <w:rsid w:val="5FDA624B"/>
    <w:rsid w:val="5FEA0B84"/>
    <w:rsid w:val="5FEA2932"/>
    <w:rsid w:val="5FEF5A95"/>
    <w:rsid w:val="5FFC08B7"/>
    <w:rsid w:val="5FFF5CB2"/>
    <w:rsid w:val="60193217"/>
    <w:rsid w:val="602360F4"/>
    <w:rsid w:val="6028345A"/>
    <w:rsid w:val="60363DC9"/>
    <w:rsid w:val="603F0CC5"/>
    <w:rsid w:val="60433DF0"/>
    <w:rsid w:val="604F09E7"/>
    <w:rsid w:val="60673F83"/>
    <w:rsid w:val="60716BAF"/>
    <w:rsid w:val="608A7C71"/>
    <w:rsid w:val="609F196E"/>
    <w:rsid w:val="60A24FBB"/>
    <w:rsid w:val="60AE3960"/>
    <w:rsid w:val="60B64F30"/>
    <w:rsid w:val="60CE5DB0"/>
    <w:rsid w:val="60DB600C"/>
    <w:rsid w:val="60F021CA"/>
    <w:rsid w:val="60F63558"/>
    <w:rsid w:val="610C68D8"/>
    <w:rsid w:val="61161505"/>
    <w:rsid w:val="611834CF"/>
    <w:rsid w:val="611D0AE5"/>
    <w:rsid w:val="6142679E"/>
    <w:rsid w:val="6155027F"/>
    <w:rsid w:val="615D7134"/>
    <w:rsid w:val="617821BF"/>
    <w:rsid w:val="617C35BF"/>
    <w:rsid w:val="617D3332"/>
    <w:rsid w:val="61861DC7"/>
    <w:rsid w:val="61972646"/>
    <w:rsid w:val="61BA6334"/>
    <w:rsid w:val="61DB4C28"/>
    <w:rsid w:val="61F21F72"/>
    <w:rsid w:val="61F25ACE"/>
    <w:rsid w:val="620852F1"/>
    <w:rsid w:val="62153E49"/>
    <w:rsid w:val="622163B3"/>
    <w:rsid w:val="62326812"/>
    <w:rsid w:val="623460E6"/>
    <w:rsid w:val="626C5880"/>
    <w:rsid w:val="626D15F8"/>
    <w:rsid w:val="628A21AA"/>
    <w:rsid w:val="62AE40EB"/>
    <w:rsid w:val="62AF1C11"/>
    <w:rsid w:val="62B45479"/>
    <w:rsid w:val="62EE098B"/>
    <w:rsid w:val="62F37D50"/>
    <w:rsid w:val="63057A83"/>
    <w:rsid w:val="63116428"/>
    <w:rsid w:val="632048BD"/>
    <w:rsid w:val="6329551F"/>
    <w:rsid w:val="633914DA"/>
    <w:rsid w:val="634347F2"/>
    <w:rsid w:val="634E4F86"/>
    <w:rsid w:val="635A1B7D"/>
    <w:rsid w:val="635F3637"/>
    <w:rsid w:val="637349EC"/>
    <w:rsid w:val="639257BA"/>
    <w:rsid w:val="639E7C98"/>
    <w:rsid w:val="63A20BCF"/>
    <w:rsid w:val="63B868A3"/>
    <w:rsid w:val="63BC2837"/>
    <w:rsid w:val="63CF1BCC"/>
    <w:rsid w:val="63EE6769"/>
    <w:rsid w:val="63F7561D"/>
    <w:rsid w:val="63F975E8"/>
    <w:rsid w:val="6424218B"/>
    <w:rsid w:val="64356146"/>
    <w:rsid w:val="643B7C00"/>
    <w:rsid w:val="64406FC4"/>
    <w:rsid w:val="644D348F"/>
    <w:rsid w:val="646802C9"/>
    <w:rsid w:val="647629E6"/>
    <w:rsid w:val="64A70DF2"/>
    <w:rsid w:val="64DE2339"/>
    <w:rsid w:val="64E02555"/>
    <w:rsid w:val="64F2474D"/>
    <w:rsid w:val="650368EF"/>
    <w:rsid w:val="65037DDD"/>
    <w:rsid w:val="65075BDB"/>
    <w:rsid w:val="65091AAC"/>
    <w:rsid w:val="65165F77"/>
    <w:rsid w:val="65312DB1"/>
    <w:rsid w:val="653D1756"/>
    <w:rsid w:val="654C49B0"/>
    <w:rsid w:val="655024ED"/>
    <w:rsid w:val="65624D19"/>
    <w:rsid w:val="6578453C"/>
    <w:rsid w:val="657B13F8"/>
    <w:rsid w:val="65837903"/>
    <w:rsid w:val="65A25A5D"/>
    <w:rsid w:val="65A2780B"/>
    <w:rsid w:val="65AE61B0"/>
    <w:rsid w:val="65C6174B"/>
    <w:rsid w:val="65F53310"/>
    <w:rsid w:val="660758C0"/>
    <w:rsid w:val="66100C18"/>
    <w:rsid w:val="66263F98"/>
    <w:rsid w:val="663F505A"/>
    <w:rsid w:val="665B6338"/>
    <w:rsid w:val="665F56FC"/>
    <w:rsid w:val="66636F9A"/>
    <w:rsid w:val="668A09CB"/>
    <w:rsid w:val="668E3573"/>
    <w:rsid w:val="66925AD1"/>
    <w:rsid w:val="66AD6467"/>
    <w:rsid w:val="66C51A03"/>
    <w:rsid w:val="67003B39"/>
    <w:rsid w:val="67252C90"/>
    <w:rsid w:val="672E75A8"/>
    <w:rsid w:val="673226C3"/>
    <w:rsid w:val="67357BB4"/>
    <w:rsid w:val="674A015A"/>
    <w:rsid w:val="677F7E04"/>
    <w:rsid w:val="679565B5"/>
    <w:rsid w:val="679E3E90"/>
    <w:rsid w:val="67B0620F"/>
    <w:rsid w:val="67BD6B7E"/>
    <w:rsid w:val="67C43A69"/>
    <w:rsid w:val="67D55C76"/>
    <w:rsid w:val="67DF1F23"/>
    <w:rsid w:val="681A18DB"/>
    <w:rsid w:val="68297D70"/>
    <w:rsid w:val="682E563A"/>
    <w:rsid w:val="683C2DEC"/>
    <w:rsid w:val="68420E31"/>
    <w:rsid w:val="68433770"/>
    <w:rsid w:val="685F3791"/>
    <w:rsid w:val="68703BF0"/>
    <w:rsid w:val="687234C5"/>
    <w:rsid w:val="68790CF7"/>
    <w:rsid w:val="68802085"/>
    <w:rsid w:val="68882CE8"/>
    <w:rsid w:val="688B27D8"/>
    <w:rsid w:val="689E075E"/>
    <w:rsid w:val="68AD7852"/>
    <w:rsid w:val="68B735CD"/>
    <w:rsid w:val="68C53F3C"/>
    <w:rsid w:val="69135570"/>
    <w:rsid w:val="691722BE"/>
    <w:rsid w:val="694C1F68"/>
    <w:rsid w:val="695452C0"/>
    <w:rsid w:val="6958090C"/>
    <w:rsid w:val="69584DB0"/>
    <w:rsid w:val="695C3D4C"/>
    <w:rsid w:val="69643755"/>
    <w:rsid w:val="69731BEA"/>
    <w:rsid w:val="697A47E0"/>
    <w:rsid w:val="69935DE8"/>
    <w:rsid w:val="69961435"/>
    <w:rsid w:val="69C2047C"/>
    <w:rsid w:val="69E71C90"/>
    <w:rsid w:val="69F05CE0"/>
    <w:rsid w:val="69F36887"/>
    <w:rsid w:val="6A07766D"/>
    <w:rsid w:val="6A0B3BD1"/>
    <w:rsid w:val="6A127BEA"/>
    <w:rsid w:val="6A132A85"/>
    <w:rsid w:val="6A246A40"/>
    <w:rsid w:val="6A274783"/>
    <w:rsid w:val="6A90057A"/>
    <w:rsid w:val="6A902328"/>
    <w:rsid w:val="6A9C42B0"/>
    <w:rsid w:val="6A9E4A45"/>
    <w:rsid w:val="6AA05645"/>
    <w:rsid w:val="6AA17770"/>
    <w:rsid w:val="6AA67D9D"/>
    <w:rsid w:val="6ABD6C0D"/>
    <w:rsid w:val="6AC233DC"/>
    <w:rsid w:val="6AD40467"/>
    <w:rsid w:val="6AD93CCF"/>
    <w:rsid w:val="6AD95A7D"/>
    <w:rsid w:val="6AE61F48"/>
    <w:rsid w:val="6AF6662F"/>
    <w:rsid w:val="6AFE54E3"/>
    <w:rsid w:val="6B2036AC"/>
    <w:rsid w:val="6B264A3A"/>
    <w:rsid w:val="6B3B6738"/>
    <w:rsid w:val="6B3B6909"/>
    <w:rsid w:val="6B43739A"/>
    <w:rsid w:val="6B4A0729"/>
    <w:rsid w:val="6B4D2D35"/>
    <w:rsid w:val="6B4F3947"/>
    <w:rsid w:val="6B572E46"/>
    <w:rsid w:val="6B647909"/>
    <w:rsid w:val="6B75131C"/>
    <w:rsid w:val="6B7F68D5"/>
    <w:rsid w:val="6B87372B"/>
    <w:rsid w:val="6B9419A4"/>
    <w:rsid w:val="6BA53BB1"/>
    <w:rsid w:val="6BAA11C7"/>
    <w:rsid w:val="6BB12556"/>
    <w:rsid w:val="6BED6242"/>
    <w:rsid w:val="6BF30DC0"/>
    <w:rsid w:val="6C0703C8"/>
    <w:rsid w:val="6C26437A"/>
    <w:rsid w:val="6C2C16C5"/>
    <w:rsid w:val="6C397AD4"/>
    <w:rsid w:val="6C3A69EF"/>
    <w:rsid w:val="6C4B29AA"/>
    <w:rsid w:val="6C692E30"/>
    <w:rsid w:val="6C6C46CF"/>
    <w:rsid w:val="6C74510B"/>
    <w:rsid w:val="6C81461E"/>
    <w:rsid w:val="6C9854C4"/>
    <w:rsid w:val="6CAD71C1"/>
    <w:rsid w:val="6CB57E24"/>
    <w:rsid w:val="6CBA18DE"/>
    <w:rsid w:val="6CCA7D73"/>
    <w:rsid w:val="6CED3A62"/>
    <w:rsid w:val="6CFF124A"/>
    <w:rsid w:val="6D064B23"/>
    <w:rsid w:val="6D1B05CF"/>
    <w:rsid w:val="6D237483"/>
    <w:rsid w:val="6D30394E"/>
    <w:rsid w:val="6D3E42BD"/>
    <w:rsid w:val="6D415B5B"/>
    <w:rsid w:val="6D4D2752"/>
    <w:rsid w:val="6D4D4500"/>
    <w:rsid w:val="6D54763D"/>
    <w:rsid w:val="6D68758C"/>
    <w:rsid w:val="6D6F091A"/>
    <w:rsid w:val="6D6F4477"/>
    <w:rsid w:val="6D82064E"/>
    <w:rsid w:val="6D9B526C"/>
    <w:rsid w:val="6DB8406F"/>
    <w:rsid w:val="6DC24C93"/>
    <w:rsid w:val="6DC347C2"/>
    <w:rsid w:val="6DF64B98"/>
    <w:rsid w:val="6DFF3A4C"/>
    <w:rsid w:val="6E076DA5"/>
    <w:rsid w:val="6E11579E"/>
    <w:rsid w:val="6E14501E"/>
    <w:rsid w:val="6E192634"/>
    <w:rsid w:val="6E1F7C4B"/>
    <w:rsid w:val="6E2A4841"/>
    <w:rsid w:val="6E3A0F28"/>
    <w:rsid w:val="6E535B46"/>
    <w:rsid w:val="6E761835"/>
    <w:rsid w:val="6E775CD9"/>
    <w:rsid w:val="6E9A3775"/>
    <w:rsid w:val="6E9F0D8B"/>
    <w:rsid w:val="6EA2087C"/>
    <w:rsid w:val="6EA75E92"/>
    <w:rsid w:val="6EBF4F8A"/>
    <w:rsid w:val="6EDD3662"/>
    <w:rsid w:val="6F0137F4"/>
    <w:rsid w:val="6F1654F2"/>
    <w:rsid w:val="6F215C44"/>
    <w:rsid w:val="6F307C36"/>
    <w:rsid w:val="6F3C482C"/>
    <w:rsid w:val="6F543924"/>
    <w:rsid w:val="6F675D4D"/>
    <w:rsid w:val="6F8D8F77"/>
    <w:rsid w:val="6F9E54E7"/>
    <w:rsid w:val="6FA046B3"/>
    <w:rsid w:val="6FA04DBB"/>
    <w:rsid w:val="6FA220C9"/>
    <w:rsid w:val="6FA65D1A"/>
    <w:rsid w:val="6FBD3BBF"/>
    <w:rsid w:val="6FE85244"/>
    <w:rsid w:val="70027824"/>
    <w:rsid w:val="70085DD0"/>
    <w:rsid w:val="701D28B0"/>
    <w:rsid w:val="70230A50"/>
    <w:rsid w:val="703B0F88"/>
    <w:rsid w:val="704F233D"/>
    <w:rsid w:val="70514307"/>
    <w:rsid w:val="70585696"/>
    <w:rsid w:val="70622071"/>
    <w:rsid w:val="708B7819"/>
    <w:rsid w:val="708C533F"/>
    <w:rsid w:val="70904E30"/>
    <w:rsid w:val="70910BA8"/>
    <w:rsid w:val="70980188"/>
    <w:rsid w:val="709C1A26"/>
    <w:rsid w:val="70A1703D"/>
    <w:rsid w:val="70A95EF1"/>
    <w:rsid w:val="70B442FB"/>
    <w:rsid w:val="70C1323B"/>
    <w:rsid w:val="70C66AA3"/>
    <w:rsid w:val="70D56CE6"/>
    <w:rsid w:val="70DA60AB"/>
    <w:rsid w:val="70E17439"/>
    <w:rsid w:val="70E94540"/>
    <w:rsid w:val="70EF41DA"/>
    <w:rsid w:val="70F74EAF"/>
    <w:rsid w:val="71233EF6"/>
    <w:rsid w:val="713D663A"/>
    <w:rsid w:val="71463740"/>
    <w:rsid w:val="71494FDF"/>
    <w:rsid w:val="715220E5"/>
    <w:rsid w:val="715776FB"/>
    <w:rsid w:val="71791D68"/>
    <w:rsid w:val="71792783"/>
    <w:rsid w:val="71793B16"/>
    <w:rsid w:val="71816E6E"/>
    <w:rsid w:val="71844269"/>
    <w:rsid w:val="71922E29"/>
    <w:rsid w:val="719941B8"/>
    <w:rsid w:val="719E532A"/>
    <w:rsid w:val="71A1306D"/>
    <w:rsid w:val="71A60683"/>
    <w:rsid w:val="71B132B0"/>
    <w:rsid w:val="71B7463E"/>
    <w:rsid w:val="71B92164"/>
    <w:rsid w:val="71D945B4"/>
    <w:rsid w:val="71DE7E1D"/>
    <w:rsid w:val="71E4311C"/>
    <w:rsid w:val="71F65166"/>
    <w:rsid w:val="71FB277D"/>
    <w:rsid w:val="71FE04BF"/>
    <w:rsid w:val="720E0702"/>
    <w:rsid w:val="72233A82"/>
    <w:rsid w:val="72367C59"/>
    <w:rsid w:val="723E08BB"/>
    <w:rsid w:val="724539F8"/>
    <w:rsid w:val="725620A9"/>
    <w:rsid w:val="725E2D0C"/>
    <w:rsid w:val="72677E12"/>
    <w:rsid w:val="7278201F"/>
    <w:rsid w:val="727D7636"/>
    <w:rsid w:val="72952BD1"/>
    <w:rsid w:val="729C3F60"/>
    <w:rsid w:val="72AC3A77"/>
    <w:rsid w:val="72BF41FF"/>
    <w:rsid w:val="72DA6CF7"/>
    <w:rsid w:val="72DF209E"/>
    <w:rsid w:val="72E476B5"/>
    <w:rsid w:val="72ED5E0C"/>
    <w:rsid w:val="73155AC0"/>
    <w:rsid w:val="73161C4E"/>
    <w:rsid w:val="731A30D6"/>
    <w:rsid w:val="7329331A"/>
    <w:rsid w:val="73334198"/>
    <w:rsid w:val="736425A4"/>
    <w:rsid w:val="73676CFC"/>
    <w:rsid w:val="7379604F"/>
    <w:rsid w:val="737A3B75"/>
    <w:rsid w:val="73A82490"/>
    <w:rsid w:val="73C0222A"/>
    <w:rsid w:val="73DB2866"/>
    <w:rsid w:val="73DE5EB2"/>
    <w:rsid w:val="73E536E4"/>
    <w:rsid w:val="73F25E01"/>
    <w:rsid w:val="73FB2F08"/>
    <w:rsid w:val="74145D78"/>
    <w:rsid w:val="74257F85"/>
    <w:rsid w:val="74296F20"/>
    <w:rsid w:val="74446D6B"/>
    <w:rsid w:val="746740F9"/>
    <w:rsid w:val="74714F78"/>
    <w:rsid w:val="74736F42"/>
    <w:rsid w:val="747E1443"/>
    <w:rsid w:val="748A603A"/>
    <w:rsid w:val="74C4779E"/>
    <w:rsid w:val="74CD72B7"/>
    <w:rsid w:val="74CE5F27"/>
    <w:rsid w:val="74DD0860"/>
    <w:rsid w:val="75047B9A"/>
    <w:rsid w:val="752124FA"/>
    <w:rsid w:val="752D5AEB"/>
    <w:rsid w:val="752E07F8"/>
    <w:rsid w:val="75306BE1"/>
    <w:rsid w:val="754B7577"/>
    <w:rsid w:val="756317FF"/>
    <w:rsid w:val="756643B1"/>
    <w:rsid w:val="75722D56"/>
    <w:rsid w:val="75742F72"/>
    <w:rsid w:val="757A7E5C"/>
    <w:rsid w:val="757F36C5"/>
    <w:rsid w:val="75970A0E"/>
    <w:rsid w:val="75B01AD0"/>
    <w:rsid w:val="75B4560E"/>
    <w:rsid w:val="75CD4430"/>
    <w:rsid w:val="75D03F20"/>
    <w:rsid w:val="75E1612D"/>
    <w:rsid w:val="75E33C54"/>
    <w:rsid w:val="75E579CC"/>
    <w:rsid w:val="75E874BC"/>
    <w:rsid w:val="75EB0D5A"/>
    <w:rsid w:val="760D0CD1"/>
    <w:rsid w:val="762A1882"/>
    <w:rsid w:val="76326989"/>
    <w:rsid w:val="76366479"/>
    <w:rsid w:val="763D51A3"/>
    <w:rsid w:val="763D7808"/>
    <w:rsid w:val="765661D4"/>
    <w:rsid w:val="765803F6"/>
    <w:rsid w:val="765C32E8"/>
    <w:rsid w:val="766C1F89"/>
    <w:rsid w:val="76854D0B"/>
    <w:rsid w:val="768865A9"/>
    <w:rsid w:val="76B13D52"/>
    <w:rsid w:val="76B31878"/>
    <w:rsid w:val="76BA0E58"/>
    <w:rsid w:val="76DF5D07"/>
    <w:rsid w:val="76EE28B0"/>
    <w:rsid w:val="76F105F2"/>
    <w:rsid w:val="770B3462"/>
    <w:rsid w:val="770E6AAE"/>
    <w:rsid w:val="774A385E"/>
    <w:rsid w:val="77675481"/>
    <w:rsid w:val="7778661E"/>
    <w:rsid w:val="777F3BC5"/>
    <w:rsid w:val="77811976"/>
    <w:rsid w:val="77866F8C"/>
    <w:rsid w:val="779C40BA"/>
    <w:rsid w:val="779F2A68"/>
    <w:rsid w:val="77A17922"/>
    <w:rsid w:val="77A22AD1"/>
    <w:rsid w:val="77AB07A1"/>
    <w:rsid w:val="77AF6464"/>
    <w:rsid w:val="77B91110"/>
    <w:rsid w:val="77DE2F50"/>
    <w:rsid w:val="77ED4572"/>
    <w:rsid w:val="77F3554E"/>
    <w:rsid w:val="77FA5285"/>
    <w:rsid w:val="77FD5AF4"/>
    <w:rsid w:val="77FE4D75"/>
    <w:rsid w:val="780D4FB8"/>
    <w:rsid w:val="780E2ADE"/>
    <w:rsid w:val="781C169F"/>
    <w:rsid w:val="783C3AEF"/>
    <w:rsid w:val="78482494"/>
    <w:rsid w:val="7855070D"/>
    <w:rsid w:val="78616A57"/>
    <w:rsid w:val="78623556"/>
    <w:rsid w:val="78632E2A"/>
    <w:rsid w:val="78686E6C"/>
    <w:rsid w:val="78692AC2"/>
    <w:rsid w:val="78880AE2"/>
    <w:rsid w:val="78A82F32"/>
    <w:rsid w:val="78BE4504"/>
    <w:rsid w:val="78C935D5"/>
    <w:rsid w:val="78E26444"/>
    <w:rsid w:val="78F148D9"/>
    <w:rsid w:val="78F72004"/>
    <w:rsid w:val="791B3704"/>
    <w:rsid w:val="792924D9"/>
    <w:rsid w:val="792B789D"/>
    <w:rsid w:val="793F73F3"/>
    <w:rsid w:val="794A5D98"/>
    <w:rsid w:val="794C5FB4"/>
    <w:rsid w:val="79507852"/>
    <w:rsid w:val="79554E68"/>
    <w:rsid w:val="79596713"/>
    <w:rsid w:val="795B1D53"/>
    <w:rsid w:val="797509D8"/>
    <w:rsid w:val="797A667D"/>
    <w:rsid w:val="798017B9"/>
    <w:rsid w:val="7984574E"/>
    <w:rsid w:val="79B17BC5"/>
    <w:rsid w:val="79D03FFA"/>
    <w:rsid w:val="79E306C6"/>
    <w:rsid w:val="79ED50A1"/>
    <w:rsid w:val="79F91C98"/>
    <w:rsid w:val="79FF3026"/>
    <w:rsid w:val="79FF6F80"/>
    <w:rsid w:val="7A044199"/>
    <w:rsid w:val="7A187C44"/>
    <w:rsid w:val="7A28257D"/>
    <w:rsid w:val="7A3507F6"/>
    <w:rsid w:val="7A3B22B0"/>
    <w:rsid w:val="7A4647B1"/>
    <w:rsid w:val="7A4917A3"/>
    <w:rsid w:val="7A7C4677"/>
    <w:rsid w:val="7A85177D"/>
    <w:rsid w:val="7A8C2B0C"/>
    <w:rsid w:val="7A941DDF"/>
    <w:rsid w:val="7AA21FFC"/>
    <w:rsid w:val="7AAA28A3"/>
    <w:rsid w:val="7AAC6D0A"/>
    <w:rsid w:val="7AAD4830"/>
    <w:rsid w:val="7AAF05A8"/>
    <w:rsid w:val="7AB20098"/>
    <w:rsid w:val="7ABB0CFB"/>
    <w:rsid w:val="7ACD1136"/>
    <w:rsid w:val="7ACF47A6"/>
    <w:rsid w:val="7ADB139D"/>
    <w:rsid w:val="7ADC6EC3"/>
    <w:rsid w:val="7AEA338E"/>
    <w:rsid w:val="7AEAE3A1"/>
    <w:rsid w:val="7AF20495"/>
    <w:rsid w:val="7AF366E7"/>
    <w:rsid w:val="7B0C1557"/>
    <w:rsid w:val="7B114DBF"/>
    <w:rsid w:val="7B18614D"/>
    <w:rsid w:val="7B25086A"/>
    <w:rsid w:val="7B29035B"/>
    <w:rsid w:val="7B2B3246"/>
    <w:rsid w:val="7B43689E"/>
    <w:rsid w:val="7B533629"/>
    <w:rsid w:val="7B5B603A"/>
    <w:rsid w:val="7B5D0004"/>
    <w:rsid w:val="7B705F89"/>
    <w:rsid w:val="7B780AEF"/>
    <w:rsid w:val="7B783090"/>
    <w:rsid w:val="7B931C78"/>
    <w:rsid w:val="7BA9149B"/>
    <w:rsid w:val="7BAC4AE8"/>
    <w:rsid w:val="7BB356DF"/>
    <w:rsid w:val="7BCC5A0D"/>
    <w:rsid w:val="7BCE1297"/>
    <w:rsid w:val="7BDA02DA"/>
    <w:rsid w:val="7BDF4EBD"/>
    <w:rsid w:val="7BF81544"/>
    <w:rsid w:val="7C0466D2"/>
    <w:rsid w:val="7C0B7A60"/>
    <w:rsid w:val="7C183F2B"/>
    <w:rsid w:val="7C354ADD"/>
    <w:rsid w:val="7C464F3C"/>
    <w:rsid w:val="7C4F3DF1"/>
    <w:rsid w:val="7C596A1E"/>
    <w:rsid w:val="7C5A2796"/>
    <w:rsid w:val="7C6559F4"/>
    <w:rsid w:val="7C943EFA"/>
    <w:rsid w:val="7C977546"/>
    <w:rsid w:val="7CA0464C"/>
    <w:rsid w:val="7CA659DB"/>
    <w:rsid w:val="7CB73744"/>
    <w:rsid w:val="7CBC0D5A"/>
    <w:rsid w:val="7CC7607D"/>
    <w:rsid w:val="7CD51E1C"/>
    <w:rsid w:val="7CD95DB0"/>
    <w:rsid w:val="7CDE33C7"/>
    <w:rsid w:val="7CF14EA8"/>
    <w:rsid w:val="7CFE75C5"/>
    <w:rsid w:val="7D2708CA"/>
    <w:rsid w:val="7D4A45B8"/>
    <w:rsid w:val="7D513339"/>
    <w:rsid w:val="7D515947"/>
    <w:rsid w:val="7D584F27"/>
    <w:rsid w:val="7D641B1E"/>
    <w:rsid w:val="7D6733BC"/>
    <w:rsid w:val="7DC91981"/>
    <w:rsid w:val="7DDA3B8E"/>
    <w:rsid w:val="7DEE13E8"/>
    <w:rsid w:val="7E097FCF"/>
    <w:rsid w:val="7E10135E"/>
    <w:rsid w:val="7E123328"/>
    <w:rsid w:val="7E265025"/>
    <w:rsid w:val="7E3808B5"/>
    <w:rsid w:val="7E464D80"/>
    <w:rsid w:val="7E4B683A"/>
    <w:rsid w:val="7E77762F"/>
    <w:rsid w:val="7E7A2C7B"/>
    <w:rsid w:val="7EB02B41"/>
    <w:rsid w:val="7EB268B9"/>
    <w:rsid w:val="7ECA3C03"/>
    <w:rsid w:val="7ED700CE"/>
    <w:rsid w:val="7EF67423"/>
    <w:rsid w:val="7EF742CC"/>
    <w:rsid w:val="7EFC7B34"/>
    <w:rsid w:val="7EFF7672"/>
    <w:rsid w:val="7F005876"/>
    <w:rsid w:val="7F1B26B0"/>
    <w:rsid w:val="7F363046"/>
    <w:rsid w:val="7F601E71"/>
    <w:rsid w:val="7F6D27E0"/>
    <w:rsid w:val="7F833DB1"/>
    <w:rsid w:val="7FA73F44"/>
    <w:rsid w:val="7FBBC16E"/>
    <w:rsid w:val="7FEE1B73"/>
    <w:rsid w:val="7FFF5AAC"/>
    <w:rsid w:val="9FF9FA48"/>
    <w:rsid w:val="A56BD786"/>
    <w:rsid w:val="BDB05BE7"/>
    <w:rsid w:val="CF3B091B"/>
    <w:rsid w:val="D6DF73ED"/>
    <w:rsid w:val="D7DF398D"/>
    <w:rsid w:val="D8DBB371"/>
    <w:rsid w:val="DB79C2C6"/>
    <w:rsid w:val="DDEB22D5"/>
    <w:rsid w:val="DEF7FBFD"/>
    <w:rsid w:val="DF7590AB"/>
    <w:rsid w:val="EABFA19A"/>
    <w:rsid w:val="F2F3055E"/>
    <w:rsid w:val="F3EF8D8F"/>
    <w:rsid w:val="FCD638AC"/>
    <w:rsid w:val="FFEB7F94"/>
    <w:rsid w:val="FFFE49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3"/>
    <w:qFormat/>
    <w:uiPriority w:val="9"/>
    <w:pPr>
      <w:jc w:val="left"/>
      <w:outlineLvl w:val="2"/>
    </w:pPr>
    <w:rPr>
      <w:rFonts w:hint="eastAsia" w:ascii="宋体" w:hAnsi="宋体" w:cs="Times New Roman"/>
      <w:kern w:val="0"/>
      <w:szCs w:val="27"/>
    </w:rPr>
  </w:style>
  <w:style w:type="paragraph" w:styleId="5">
    <w:name w:val="heading 4"/>
    <w:basedOn w:val="1"/>
    <w:next w:val="1"/>
    <w:qFormat/>
    <w:uiPriority w:val="0"/>
    <w:pPr>
      <w:keepNext/>
      <w:keepLines/>
      <w:outlineLvl w:val="3"/>
    </w:pPr>
    <w:rPr>
      <w:rFonts w:ascii="Cambria" w:hAnsi="Cambria" w:cs="Times New Roman"/>
      <w:bCs/>
      <w:szCs w:val="28"/>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sz w:val="22"/>
      <w:szCs w:val="22"/>
      <w:lang w:val="en-US" w:eastAsia="zh-CN" w:bidi="ar-SA"/>
    </w:rPr>
  </w:style>
  <w:style w:type="paragraph" w:styleId="6">
    <w:name w:val="annotation text"/>
    <w:basedOn w:val="1"/>
    <w:link w:val="18"/>
    <w:uiPriority w:val="0"/>
    <w:pPr>
      <w:jc w:val="left"/>
    </w:pPr>
  </w:style>
  <w:style w:type="paragraph" w:styleId="7">
    <w:name w:val="Balloon Text"/>
    <w:basedOn w:val="1"/>
    <w:link w:val="19"/>
    <w:uiPriority w:val="0"/>
    <w:rPr>
      <w:sz w:val="18"/>
      <w:szCs w:val="18"/>
    </w:rPr>
  </w:style>
  <w:style w:type="paragraph" w:styleId="8">
    <w:name w:val="footer"/>
    <w:basedOn w:val="1"/>
    <w:link w:val="20"/>
    <w:uiPriority w:val="99"/>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annotation subject"/>
    <w:basedOn w:val="6"/>
    <w:next w:val="6"/>
    <w:link w:val="21"/>
    <w:uiPriority w:val="0"/>
    <w:rPr>
      <w:b/>
      <w:bCs/>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line number"/>
    <w:uiPriority w:val="0"/>
  </w:style>
  <w:style w:type="character" w:styleId="16">
    <w:name w:val="Hyperlink"/>
    <w:uiPriority w:val="0"/>
    <w:rPr>
      <w:color w:val="0000FF"/>
      <w:u w:val="single"/>
    </w:rPr>
  </w:style>
  <w:style w:type="character" w:styleId="17">
    <w:name w:val="annotation reference"/>
    <w:uiPriority w:val="0"/>
    <w:rPr>
      <w:sz w:val="21"/>
      <w:szCs w:val="21"/>
    </w:rPr>
  </w:style>
  <w:style w:type="character" w:customStyle="1" w:styleId="18">
    <w:name w:val="批注文字 字符"/>
    <w:link w:val="6"/>
    <w:uiPriority w:val="0"/>
    <w:rPr>
      <w:rFonts w:ascii="Calibri" w:hAnsi="Calibri"/>
      <w:kern w:val="2"/>
      <w:sz w:val="21"/>
      <w:szCs w:val="24"/>
    </w:rPr>
  </w:style>
  <w:style w:type="character" w:customStyle="1" w:styleId="19">
    <w:name w:val="批注框文本 字符"/>
    <w:link w:val="7"/>
    <w:uiPriority w:val="0"/>
    <w:rPr>
      <w:rFonts w:ascii="Calibri" w:hAnsi="Calibri"/>
      <w:kern w:val="2"/>
      <w:sz w:val="18"/>
      <w:szCs w:val="18"/>
    </w:rPr>
  </w:style>
  <w:style w:type="character" w:customStyle="1" w:styleId="20">
    <w:name w:val="页脚 字符"/>
    <w:link w:val="8"/>
    <w:uiPriority w:val="99"/>
    <w:rPr>
      <w:rFonts w:ascii="Calibri" w:hAnsi="Calibri"/>
      <w:kern w:val="2"/>
      <w:sz w:val="18"/>
      <w:szCs w:val="24"/>
    </w:rPr>
  </w:style>
  <w:style w:type="character" w:customStyle="1" w:styleId="21">
    <w:name w:val="批注主题 字符"/>
    <w:link w:val="10"/>
    <w:uiPriority w:val="0"/>
    <w:rPr>
      <w:rFonts w:ascii="Calibri" w:hAnsi="Calibri"/>
      <w:b/>
      <w:bCs/>
      <w:kern w:val="2"/>
      <w:sz w:val="21"/>
      <w:szCs w:val="24"/>
    </w:rPr>
  </w:style>
  <w:style w:type="character" w:customStyle="1" w:styleId="22">
    <w:name w:val="f101"/>
    <w:qFormat/>
    <w:uiPriority w:val="0"/>
    <w:rPr>
      <w:sz w:val="24"/>
      <w:szCs w:val="24"/>
    </w:rPr>
  </w:style>
  <w:style w:type="paragraph" w:customStyle="1" w:styleId="23">
    <w:name w:val="Table Text"/>
    <w:basedOn w:val="1"/>
    <w:qFormat/>
    <w:uiPriority w:val="0"/>
    <w:pPr>
      <w:keepLines/>
      <w:widowControl/>
      <w:jc w:val="left"/>
    </w:pPr>
    <w:rPr>
      <w:rFonts w:ascii="Arial" w:hAnsi="Arial"/>
      <w:kern w:val="0"/>
      <w:sz w:val="20"/>
      <w:szCs w:val="20"/>
      <w:lang w:val="en-GB" w:eastAsia="en-US"/>
    </w:rPr>
  </w:style>
  <w:style w:type="paragraph" w:customStyle="1" w:styleId="24">
    <w:name w:val="列出段落11"/>
    <w:basedOn w:val="1"/>
    <w:qFormat/>
    <w:uiPriority w:val="34"/>
    <w:pPr>
      <w:ind w:firstLine="420"/>
    </w:pPr>
    <w:rPr>
      <w:rFonts w:ascii="Calibri" w:hAnsi="Calibri"/>
      <w:szCs w:val="22"/>
    </w:rPr>
  </w:style>
  <w:style w:type="paragraph" w:styleId="25">
    <w:name w:val=""/>
    <w:hidden/>
    <w:unhideWhenUsed/>
    <w:uiPriority w:val="99"/>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6180</Words>
  <Characters>6645</Characters>
  <Lines>48</Lines>
  <Paragraphs>13</Paragraphs>
  <TotalTime>0</TotalTime>
  <ScaleCrop>false</ScaleCrop>
  <LinksUpToDate>false</LinksUpToDate>
  <CharactersWithSpaces>6693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2025-12-26T01:08:00Z</dcterms:created>
  <dc:creator>tjcmde</dc:creator>
  <cp:lastModifiedBy>zyy</cp:lastModifiedBy>
  <cp:lastPrinted>2024-06-23T08:47:00Z</cp:lastPrinted>
  <dcterms:modified xsi:type="dcterms:W3CDTF">2026-01-12T02:46:04Z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47101E30B0004B0CAA69E26A018BF5F5_13</vt:lpwstr>
  </property>
  <property fmtid="{D5CDD505-2E9C-101B-9397-08002B2CF9AE}" pid="4" name="KSOTemplateDocerSaveRecord">
    <vt:lpwstr>eyJoZGlkIjoiYzA3ODk1ODg1NjliNjNiYzNmYzQyMTVlYmUyYjI4MTciLCJ1c2VySWQiOiI1NzQzNTkxODUifQ==</vt:lpwstr>
  </property>
</Properties>
</file>