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5ADDA">
      <w:pPr>
        <w:rPr>
          <w:rFonts w:hint="eastAsia" w:ascii="黑体" w:hAnsi="华文仿宋" w:eastAsia="黑体"/>
          <w:sz w:val="32"/>
          <w:szCs w:val="32"/>
        </w:rPr>
      </w:pPr>
      <w:bookmarkStart w:id="0" w:name="_GoBack"/>
      <w:bookmarkEnd w:id="0"/>
      <w:r>
        <w:rPr>
          <w:rFonts w:hint="eastAsia" w:ascii="黑体" w:hAnsi="华文仿宋" w:eastAsia="黑体"/>
          <w:sz w:val="32"/>
          <w:szCs w:val="32"/>
        </w:rPr>
        <w:t>附件</w:t>
      </w:r>
    </w:p>
    <w:p w14:paraId="17EC68EC">
      <w:pPr>
        <w:spacing w:line="600" w:lineRule="exact"/>
        <w:ind w:firstLine="640" w:firstLineChars="200"/>
        <w:rPr>
          <w:rFonts w:hint="eastAsia" w:ascii="仿宋_GB2312" w:hAnsi="华文仿宋" w:eastAsia="仿宋_GB2312"/>
          <w:sz w:val="32"/>
          <w:szCs w:val="32"/>
        </w:rPr>
      </w:pPr>
    </w:p>
    <w:p w14:paraId="6C451930">
      <w:pPr>
        <w:pStyle w:val="7"/>
        <w:shd w:val="clear" w:color="auto" w:fill="FFFFFF"/>
        <w:spacing w:before="0" w:beforeAutospacing="0" w:after="0" w:afterAutospacing="0" w:line="600" w:lineRule="exact"/>
        <w:jc w:val="center"/>
        <w:outlineLvl w:val="0"/>
        <w:rPr>
          <w:rFonts w:eastAsia="方正小标宋简体"/>
          <w:spacing w:val="-6"/>
          <w:sz w:val="44"/>
          <w:szCs w:val="44"/>
          <w:lang w:val="en"/>
        </w:rPr>
      </w:pPr>
      <w:r>
        <w:rPr>
          <w:rFonts w:eastAsia="方正小标宋简体"/>
          <w:spacing w:val="-6"/>
          <w:sz w:val="44"/>
          <w:szCs w:val="44"/>
          <w:lang w:val="en"/>
        </w:rPr>
        <w:t>互联网药品医疗器械信息服务备案管理规定</w:t>
      </w:r>
    </w:p>
    <w:p w14:paraId="02D61DBD">
      <w:pPr>
        <w:pStyle w:val="13"/>
        <w:spacing w:line="600" w:lineRule="exact"/>
        <w:ind w:firstLine="640"/>
        <w:rPr>
          <w:rFonts w:ascii="Times New Roman" w:hAnsi="Times New Roman" w:eastAsia="仿宋_GB2312"/>
          <w:sz w:val="32"/>
          <w:szCs w:val="32"/>
          <w:lang w:val="en"/>
        </w:rPr>
      </w:pPr>
    </w:p>
    <w:p w14:paraId="6492A976">
      <w:pPr>
        <w:pStyle w:val="2"/>
        <w:keepNext w:val="0"/>
        <w:keepLines w:val="0"/>
        <w:spacing w:before="0" w:after="0" w:line="600" w:lineRule="exact"/>
        <w:ind w:firstLine="640" w:firstLineChars="200"/>
        <w:rPr>
          <w:rFonts w:ascii="Times New Roman" w:hAnsi="Times New Roman" w:eastAsia="仿宋_GB2312"/>
          <w:b w:val="0"/>
          <w:bCs/>
          <w:szCs w:val="32"/>
          <w:shd w:val="clear" w:color="auto" w:fill="FFFFFF"/>
          <w:lang w:bidi="ar"/>
        </w:rPr>
      </w:pPr>
      <w:r>
        <w:rPr>
          <w:rFonts w:hint="eastAsia" w:ascii="黑体" w:hAnsi="黑体" w:cs="黑体"/>
          <w:b w:val="0"/>
          <w:bCs/>
          <w:szCs w:val="32"/>
          <w:lang w:val="en"/>
        </w:rPr>
        <w:t>第一</w:t>
      </w:r>
      <w:r>
        <w:rPr>
          <w:rFonts w:ascii="黑体" w:hAnsi="黑体" w:cs="黑体"/>
          <w:b w:val="0"/>
          <w:bCs/>
          <w:szCs w:val="32"/>
        </w:rPr>
        <w:t xml:space="preserve">条  </w:t>
      </w:r>
      <w:r>
        <w:rPr>
          <w:rFonts w:ascii="Times New Roman" w:hAnsi="Times New Roman" w:eastAsia="仿宋_GB2312"/>
          <w:b w:val="0"/>
          <w:bCs/>
          <w:szCs w:val="32"/>
        </w:rPr>
        <w:t>为了规范互联网药品医疗器械信息服务备案，加强互联网药品医疗器械信息服务管理，根据《互联网信息服务管理办法》，制定本规定。</w:t>
      </w:r>
    </w:p>
    <w:p w14:paraId="68792171">
      <w:pPr>
        <w:pStyle w:val="2"/>
        <w:keepNext w:val="0"/>
        <w:keepLines w:val="0"/>
        <w:spacing w:before="0" w:after="0" w:line="600" w:lineRule="exact"/>
        <w:ind w:firstLine="640" w:firstLineChars="200"/>
        <w:rPr>
          <w:rFonts w:ascii="Times New Roman" w:hAnsi="Times New Roman" w:eastAsia="仿宋_GB2312"/>
          <w:b w:val="0"/>
          <w:bCs/>
          <w:szCs w:val="32"/>
        </w:rPr>
      </w:pPr>
      <w:r>
        <w:rPr>
          <w:rFonts w:hint="eastAsia" w:ascii="黑体" w:hAnsi="黑体" w:cs="黑体"/>
          <w:b w:val="0"/>
          <w:bCs/>
          <w:szCs w:val="32"/>
          <w:lang w:val="en"/>
        </w:rPr>
        <w:t>第二</w:t>
      </w:r>
      <w:r>
        <w:rPr>
          <w:rFonts w:ascii="黑体" w:hAnsi="黑体" w:cs="黑体"/>
          <w:b w:val="0"/>
          <w:bCs/>
          <w:szCs w:val="32"/>
        </w:rPr>
        <w:t xml:space="preserve">条  </w:t>
      </w:r>
      <w:r>
        <w:rPr>
          <w:rFonts w:ascii="Times New Roman" w:hAnsi="Times New Roman" w:eastAsia="仿宋_GB2312"/>
          <w:b w:val="0"/>
          <w:bCs/>
          <w:szCs w:val="32"/>
        </w:rPr>
        <w:t>在中华人民共和国境内通过互联网为上网用户提供药品医疗器械信息服务活动，应当遵守本规定。</w:t>
      </w:r>
    </w:p>
    <w:p w14:paraId="3EF3616A">
      <w:pPr>
        <w:pStyle w:val="2"/>
        <w:keepNext w:val="0"/>
        <w:keepLines w:val="0"/>
        <w:spacing w:before="0" w:after="0" w:line="600" w:lineRule="exact"/>
        <w:ind w:firstLine="640" w:firstLineChars="200"/>
        <w:rPr>
          <w:rFonts w:ascii="Times New Roman" w:hAnsi="Times New Roman" w:eastAsia="仿宋_GB2312"/>
          <w:b w:val="0"/>
          <w:bCs/>
          <w:szCs w:val="32"/>
        </w:rPr>
      </w:pPr>
      <w:r>
        <w:rPr>
          <w:rFonts w:hint="eastAsia" w:ascii="黑体" w:hAnsi="黑体" w:cs="黑体"/>
          <w:b w:val="0"/>
          <w:bCs/>
          <w:szCs w:val="32"/>
          <w:lang w:val="en"/>
        </w:rPr>
        <w:t>第三</w:t>
      </w:r>
      <w:r>
        <w:rPr>
          <w:rFonts w:ascii="黑体" w:hAnsi="黑体" w:cs="黑体"/>
          <w:b w:val="0"/>
          <w:bCs/>
          <w:szCs w:val="32"/>
        </w:rPr>
        <w:t xml:space="preserve">条  </w:t>
      </w:r>
      <w:r>
        <w:rPr>
          <w:rFonts w:ascii="Times New Roman" w:hAnsi="Times New Roman" w:eastAsia="仿宋_GB2312"/>
          <w:b w:val="0"/>
          <w:bCs/>
          <w:szCs w:val="32"/>
        </w:rPr>
        <w:t>国家药品监督管理局负责指导全国互联网药品医疗器械信息服务备案和监督管理工作。</w:t>
      </w:r>
    </w:p>
    <w:p w14:paraId="086CF525">
      <w:pPr>
        <w:spacing w:line="600" w:lineRule="exact"/>
        <w:ind w:firstLine="640" w:firstLineChars="200"/>
        <w:rPr>
          <w:rFonts w:eastAsia="仿宋_GB2312"/>
          <w:bCs/>
          <w:kern w:val="0"/>
          <w:sz w:val="32"/>
          <w:szCs w:val="32"/>
          <w:shd w:val="clear" w:color="auto" w:fill="FFFFFF"/>
          <w:lang w:bidi="ar"/>
        </w:rPr>
      </w:pPr>
      <w:r>
        <w:rPr>
          <w:rFonts w:hint="eastAsia" w:eastAsia="仿宋_GB2312"/>
          <w:bCs/>
          <w:kern w:val="0"/>
          <w:sz w:val="32"/>
          <w:szCs w:val="32"/>
          <w:shd w:val="clear" w:color="auto" w:fill="FFFFFF"/>
          <w:lang w:bidi="ar"/>
        </w:rPr>
        <w:t>各</w:t>
      </w:r>
      <w:r>
        <w:rPr>
          <w:rFonts w:eastAsia="仿宋_GB2312"/>
          <w:bCs/>
          <w:kern w:val="0"/>
          <w:sz w:val="32"/>
          <w:szCs w:val="32"/>
          <w:shd w:val="clear" w:color="auto" w:fill="FFFFFF"/>
          <w:lang w:bidi="ar"/>
        </w:rPr>
        <w:t>省、自治区、直辖市药品监督管理部门（以下简称省级药品监督管理部门）负责本行政区域内互联网药品医疗器械信息服务的备案，并组织实施监督管理。</w:t>
      </w:r>
    </w:p>
    <w:p w14:paraId="6A4ACF09">
      <w:pPr>
        <w:pStyle w:val="2"/>
        <w:keepNext w:val="0"/>
        <w:keepLines w:val="0"/>
        <w:spacing w:before="0" w:after="0" w:line="600" w:lineRule="exact"/>
        <w:ind w:firstLine="640" w:firstLineChars="200"/>
        <w:rPr>
          <w:rFonts w:ascii="Times New Roman" w:hAnsi="Times New Roman" w:eastAsia="仿宋_GB2312"/>
          <w:b w:val="0"/>
          <w:bCs/>
          <w:szCs w:val="32"/>
        </w:rPr>
      </w:pPr>
      <w:r>
        <w:rPr>
          <w:rFonts w:hint="eastAsia" w:ascii="黑体" w:hAnsi="黑体" w:cs="黑体"/>
          <w:b w:val="0"/>
          <w:bCs/>
          <w:szCs w:val="32"/>
          <w:lang w:val="en"/>
        </w:rPr>
        <w:t>第四</w:t>
      </w:r>
      <w:r>
        <w:rPr>
          <w:rFonts w:ascii="黑体" w:hAnsi="黑体" w:cs="黑体"/>
          <w:b w:val="0"/>
          <w:bCs/>
          <w:szCs w:val="32"/>
        </w:rPr>
        <w:t xml:space="preserve">条  </w:t>
      </w:r>
      <w:r>
        <w:rPr>
          <w:rFonts w:ascii="Times New Roman" w:hAnsi="Times New Roman" w:eastAsia="仿宋_GB2312"/>
          <w:b w:val="0"/>
          <w:bCs/>
          <w:szCs w:val="32"/>
        </w:rPr>
        <w:t>互联网药品医疗器械信息服务提供者（以下简称信息服务提供者）应当以网站、客户端、应用程序为基本单元进行备案</w:t>
      </w:r>
      <w:r>
        <w:rPr>
          <w:rFonts w:ascii="Times New Roman" w:hAnsi="Times New Roman" w:eastAsia="仿宋_GB2312"/>
          <w:b w:val="0"/>
          <w:bCs/>
          <w:kern w:val="0"/>
          <w:szCs w:val="32"/>
          <w:shd w:val="clear" w:color="auto" w:fill="FFFFFF"/>
          <w:lang w:bidi="ar"/>
        </w:rPr>
        <w:t>，除应当符合《互联网信息服务管理办法》规定的要求外，还应当具备下列条件：</w:t>
      </w:r>
    </w:p>
    <w:p w14:paraId="1D6F8779">
      <w:pPr>
        <w:spacing w:line="600" w:lineRule="exact"/>
        <w:ind w:firstLine="640" w:firstLineChars="200"/>
        <w:rPr>
          <w:rFonts w:eastAsia="仿宋_GB2312"/>
          <w:bCs/>
          <w:sz w:val="32"/>
          <w:szCs w:val="32"/>
        </w:rPr>
      </w:pPr>
      <w:r>
        <w:rPr>
          <w:rFonts w:eastAsia="仿宋_GB2312"/>
          <w:bCs/>
          <w:kern w:val="0"/>
          <w:sz w:val="32"/>
          <w:szCs w:val="32"/>
          <w:shd w:val="clear" w:color="auto" w:fill="FFFFFF"/>
          <w:lang w:bidi="ar"/>
        </w:rPr>
        <w:t>（一）信息服务提供者应</w:t>
      </w:r>
      <w:r>
        <w:rPr>
          <w:rFonts w:hint="eastAsia" w:eastAsia="仿宋_GB2312"/>
          <w:bCs/>
          <w:kern w:val="0"/>
          <w:sz w:val="32"/>
          <w:szCs w:val="32"/>
          <w:shd w:val="clear" w:color="auto" w:fill="FFFFFF"/>
          <w:lang w:bidi="ar"/>
        </w:rPr>
        <w:t>当</w:t>
      </w:r>
      <w:r>
        <w:rPr>
          <w:rFonts w:eastAsia="仿宋_GB2312"/>
          <w:bCs/>
          <w:kern w:val="0"/>
          <w:sz w:val="32"/>
          <w:szCs w:val="32"/>
          <w:shd w:val="clear" w:color="auto" w:fill="FFFFFF"/>
          <w:lang w:bidi="ar"/>
        </w:rPr>
        <w:t>为依法成立的法人或者其他组织；</w:t>
      </w:r>
    </w:p>
    <w:p w14:paraId="0B86283A">
      <w:pPr>
        <w:shd w:val="clear" w:color="auto" w:fill="FFFFFF"/>
        <w:spacing w:line="600" w:lineRule="exact"/>
        <w:ind w:firstLine="640" w:firstLineChars="200"/>
        <w:rPr>
          <w:rFonts w:eastAsia="仿宋_GB2312"/>
          <w:bCs/>
          <w:sz w:val="32"/>
          <w:szCs w:val="32"/>
        </w:rPr>
      </w:pPr>
      <w:r>
        <w:rPr>
          <w:rFonts w:eastAsia="仿宋_GB2312"/>
          <w:bCs/>
          <w:kern w:val="0"/>
          <w:sz w:val="32"/>
          <w:szCs w:val="32"/>
          <w:shd w:val="clear" w:color="auto" w:fill="FFFFFF"/>
          <w:lang w:bidi="ar"/>
        </w:rPr>
        <w:t>（二）具有与开展互联网药品医疗器械信息服务活动相适应的专业人员、设施及管理制度；</w:t>
      </w:r>
    </w:p>
    <w:p w14:paraId="39A91623">
      <w:pPr>
        <w:shd w:val="clear" w:color="auto" w:fill="FFFFFF"/>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（三）配备至少两名熟悉</w:t>
      </w:r>
      <w:r>
        <w:rPr>
          <w:rFonts w:eastAsia="仿宋_GB2312"/>
          <w:bCs/>
          <w:kern w:val="0"/>
          <w:sz w:val="32"/>
          <w:szCs w:val="32"/>
          <w:shd w:val="clear" w:color="auto" w:fill="FFFFFF"/>
          <w:lang w:val="en" w:bidi="ar"/>
        </w:rPr>
        <w:t>药品、医疗器械</w:t>
      </w:r>
      <w:r>
        <w:rPr>
          <w:rFonts w:eastAsia="仿宋_GB2312"/>
          <w:bCs/>
          <w:kern w:val="0"/>
          <w:sz w:val="32"/>
          <w:szCs w:val="32"/>
          <w:shd w:val="clear" w:color="auto" w:fill="FFFFFF"/>
          <w:lang w:bidi="ar"/>
        </w:rPr>
        <w:t>相关法律、法规和专业知识，或者依法经资格认定的药学、医疗器械技术人员。</w:t>
      </w:r>
    </w:p>
    <w:p w14:paraId="5460B463">
      <w:pPr>
        <w:pStyle w:val="2"/>
        <w:keepNext w:val="0"/>
        <w:keepLines w:val="0"/>
        <w:spacing w:before="0" w:after="0" w:line="600" w:lineRule="exact"/>
        <w:ind w:firstLine="640" w:firstLineChars="200"/>
        <w:rPr>
          <w:rFonts w:hint="eastAsia" w:ascii="Times New Roman" w:hAnsi="Times New Roman" w:eastAsia="仿宋_GB2312"/>
          <w:b w:val="0"/>
          <w:bCs/>
          <w:szCs w:val="32"/>
        </w:rPr>
      </w:pPr>
      <w:r>
        <w:rPr>
          <w:rFonts w:hint="eastAsia" w:ascii="黑体" w:hAnsi="黑体" w:cs="黑体"/>
          <w:b w:val="0"/>
          <w:bCs/>
          <w:szCs w:val="32"/>
        </w:rPr>
        <w:t>第五</w:t>
      </w:r>
      <w:r>
        <w:rPr>
          <w:rFonts w:ascii="黑体" w:hAnsi="黑体" w:cs="黑体"/>
          <w:b w:val="0"/>
          <w:bCs/>
          <w:szCs w:val="32"/>
        </w:rPr>
        <w:t xml:space="preserve">条  </w:t>
      </w:r>
      <w:r>
        <w:rPr>
          <w:rFonts w:ascii="Times New Roman" w:hAnsi="Times New Roman" w:eastAsia="仿宋_GB2312"/>
          <w:b w:val="0"/>
          <w:bCs/>
          <w:szCs w:val="32"/>
        </w:rPr>
        <w:t>信息服务提供者在提供互联网药品医疗器械信息服务前，应当向所在地省级药品监督管理部门提供单位名称、法定代表人或者主要</w:t>
      </w:r>
      <w:r>
        <w:rPr>
          <w:rFonts w:ascii="Times New Roman" w:hAnsi="Times New Roman" w:eastAsia="仿宋_GB2312"/>
          <w:b w:val="0"/>
          <w:bCs/>
          <w:szCs w:val="32"/>
          <w:lang w:val="en"/>
        </w:rPr>
        <w:t>负责人</w:t>
      </w:r>
      <w:r>
        <w:rPr>
          <w:rFonts w:ascii="Times New Roman" w:hAnsi="Times New Roman" w:eastAsia="仿宋_GB2312"/>
          <w:b w:val="0"/>
          <w:bCs/>
          <w:szCs w:val="32"/>
        </w:rPr>
        <w:t>、住所，以及网站、客户端、应用程序的名称和域名等信息进行备案，并提交下列资料，获取备案编号</w:t>
      </w:r>
      <w:r>
        <w:rPr>
          <w:rFonts w:hint="eastAsia" w:ascii="Times New Roman" w:hAnsi="Times New Roman" w:eastAsia="仿宋_GB2312"/>
          <w:b w:val="0"/>
          <w:bCs/>
          <w:szCs w:val="32"/>
        </w:rPr>
        <w:t>。</w:t>
      </w:r>
    </w:p>
    <w:p w14:paraId="20984B72">
      <w:pPr>
        <w:spacing w:line="600" w:lineRule="exact"/>
        <w:ind w:firstLine="640" w:firstLineChars="200"/>
        <w:rPr>
          <w:rFonts w:eastAsia="仿宋_GB2312"/>
          <w:bCs/>
          <w:sz w:val="32"/>
          <w:szCs w:val="32"/>
        </w:rPr>
      </w:pPr>
      <w:r>
        <w:rPr>
          <w:rFonts w:eastAsia="仿宋_GB2312"/>
          <w:bCs/>
          <w:kern w:val="0"/>
          <w:sz w:val="32"/>
          <w:szCs w:val="32"/>
          <w:shd w:val="clear" w:color="auto" w:fill="FFFFFF"/>
          <w:lang w:bidi="ar"/>
        </w:rPr>
        <w:t>（一）备案信息情况表；</w:t>
      </w:r>
    </w:p>
    <w:p w14:paraId="2E1314ED">
      <w:pPr>
        <w:shd w:val="clear" w:color="auto" w:fill="FFFFFF"/>
        <w:spacing w:line="600" w:lineRule="exact"/>
        <w:ind w:firstLine="640" w:firstLineChars="200"/>
        <w:rPr>
          <w:rFonts w:eastAsia="仿宋_GB2312"/>
          <w:bCs/>
          <w:sz w:val="32"/>
          <w:szCs w:val="32"/>
        </w:rPr>
      </w:pPr>
      <w:r>
        <w:rPr>
          <w:rFonts w:eastAsia="仿宋_GB2312"/>
          <w:bCs/>
          <w:kern w:val="0"/>
          <w:sz w:val="32"/>
          <w:szCs w:val="32"/>
          <w:shd w:val="clear" w:color="auto" w:fill="FFFFFF"/>
          <w:lang w:bidi="ar"/>
        </w:rPr>
        <w:t>（二）互联网信息服务增值电信业务经营许可证复印件或者非经营性互联网信息服务备案信息；</w:t>
      </w:r>
    </w:p>
    <w:p w14:paraId="0E75CEA7">
      <w:pPr>
        <w:shd w:val="clear" w:color="auto" w:fill="FFFFFF"/>
        <w:spacing w:line="600" w:lineRule="exact"/>
        <w:ind w:firstLine="640" w:firstLineChars="200"/>
        <w:rPr>
          <w:rFonts w:eastAsia="仿宋_GB2312"/>
          <w:bCs/>
          <w:sz w:val="32"/>
          <w:szCs w:val="32"/>
        </w:rPr>
      </w:pPr>
      <w:r>
        <w:rPr>
          <w:rFonts w:eastAsia="仿宋_GB2312"/>
          <w:bCs/>
          <w:kern w:val="0"/>
          <w:sz w:val="32"/>
          <w:szCs w:val="32"/>
          <w:shd w:val="clear" w:color="auto" w:fill="FFFFFF"/>
          <w:lang w:bidi="ar"/>
        </w:rPr>
        <w:t>（三）法定代表人或者主要</w:t>
      </w:r>
      <w:r>
        <w:rPr>
          <w:rFonts w:eastAsia="仿宋_GB2312"/>
          <w:bCs/>
          <w:kern w:val="0"/>
          <w:sz w:val="32"/>
          <w:szCs w:val="32"/>
          <w:shd w:val="clear" w:color="auto" w:fill="FFFFFF"/>
          <w:lang w:val="en" w:bidi="ar"/>
        </w:rPr>
        <w:t>负责人</w:t>
      </w:r>
      <w:r>
        <w:rPr>
          <w:rFonts w:eastAsia="仿宋_GB2312"/>
          <w:bCs/>
          <w:kern w:val="0"/>
          <w:sz w:val="32"/>
          <w:szCs w:val="32"/>
          <w:shd w:val="clear" w:color="auto" w:fill="FFFFFF"/>
          <w:lang w:bidi="ar"/>
        </w:rPr>
        <w:t>身份证明复印件；</w:t>
      </w:r>
    </w:p>
    <w:p w14:paraId="238CFFC3">
      <w:pPr>
        <w:shd w:val="clear" w:color="auto" w:fill="FFFFFF"/>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（四）药品、医疗器械相关专业技术人员学历证明或者其专业技术资格证书复印件；</w:t>
      </w:r>
    </w:p>
    <w:p w14:paraId="7F535638">
      <w:pPr>
        <w:shd w:val="clear" w:color="auto" w:fill="FFFFFF"/>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（五）对网站、客户端、应用程序历史发布信息进行备份和查阅的相关管理制度；</w:t>
      </w:r>
    </w:p>
    <w:p w14:paraId="22784CE1">
      <w:pPr>
        <w:shd w:val="clear" w:color="auto" w:fill="FFFFFF"/>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（六）保证</w:t>
      </w:r>
      <w:r>
        <w:rPr>
          <w:rFonts w:eastAsia="仿宋_GB2312"/>
          <w:bCs/>
          <w:kern w:val="0"/>
          <w:sz w:val="32"/>
          <w:szCs w:val="32"/>
          <w:shd w:val="clear" w:color="auto" w:fill="FFFFFF"/>
          <w:lang w:val="en" w:bidi="ar"/>
        </w:rPr>
        <w:t>药品、医疗器械</w:t>
      </w:r>
      <w:r>
        <w:rPr>
          <w:rFonts w:eastAsia="仿宋_GB2312"/>
          <w:bCs/>
          <w:kern w:val="0"/>
          <w:sz w:val="32"/>
          <w:szCs w:val="32"/>
          <w:shd w:val="clear" w:color="auto" w:fill="FFFFFF"/>
          <w:lang w:bidi="ar"/>
        </w:rPr>
        <w:t>信息来源合法、真实、安全的管理措施、情况说明及相关证明；</w:t>
      </w:r>
    </w:p>
    <w:p w14:paraId="2B446DE8">
      <w:pPr>
        <w:shd w:val="clear" w:color="auto" w:fill="FFFFFF"/>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（七）健全的网络与信息安全保障措施，包括网站安全保障措施、信息安全保密管理制度、用户信息安全管理制度。</w:t>
      </w:r>
    </w:p>
    <w:p w14:paraId="6C7C436F">
      <w:pPr>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上述备案资料应当合法、真实、准确、完整和可追溯。</w:t>
      </w:r>
    </w:p>
    <w:p w14:paraId="18C36030">
      <w:pPr>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单位名称、法定代表人或者主要</w:t>
      </w:r>
      <w:r>
        <w:rPr>
          <w:rFonts w:eastAsia="仿宋_GB2312"/>
          <w:bCs/>
          <w:kern w:val="0"/>
          <w:sz w:val="32"/>
          <w:szCs w:val="32"/>
          <w:shd w:val="clear" w:color="auto" w:fill="FFFFFF"/>
          <w:lang w:val="en" w:bidi="ar"/>
        </w:rPr>
        <w:t>负责人</w:t>
      </w:r>
      <w:r>
        <w:rPr>
          <w:rFonts w:eastAsia="仿宋_GB2312"/>
          <w:bCs/>
          <w:kern w:val="0"/>
          <w:sz w:val="32"/>
          <w:szCs w:val="32"/>
          <w:shd w:val="clear" w:color="auto" w:fill="FFFFFF"/>
          <w:lang w:bidi="ar"/>
        </w:rPr>
        <w:t>、住所，以及网站、客户端、应用程序的名称和域名等</w:t>
      </w:r>
      <w:r>
        <w:rPr>
          <w:rFonts w:hint="eastAsia" w:eastAsia="仿宋_GB2312"/>
          <w:bCs/>
          <w:kern w:val="0"/>
          <w:sz w:val="32"/>
          <w:szCs w:val="32"/>
          <w:shd w:val="clear" w:color="auto" w:fill="FFFFFF"/>
          <w:lang w:bidi="ar"/>
        </w:rPr>
        <w:t>信息</w:t>
      </w:r>
      <w:r>
        <w:rPr>
          <w:rFonts w:eastAsia="仿宋_GB2312"/>
          <w:bCs/>
          <w:kern w:val="0"/>
          <w:sz w:val="32"/>
          <w:szCs w:val="32"/>
          <w:shd w:val="clear" w:color="auto" w:fill="FFFFFF"/>
          <w:lang w:bidi="ar"/>
        </w:rPr>
        <w:t>发生变化的，应当在30日内进行备案变更。</w:t>
      </w:r>
    </w:p>
    <w:p w14:paraId="4385F6BB">
      <w:pPr>
        <w:pStyle w:val="2"/>
        <w:keepNext w:val="0"/>
        <w:keepLines w:val="0"/>
        <w:spacing w:before="0" w:after="0" w:line="600" w:lineRule="exact"/>
        <w:ind w:firstLine="640" w:firstLineChars="200"/>
        <w:rPr>
          <w:rFonts w:ascii="Times New Roman" w:hAnsi="Times New Roman" w:eastAsia="仿宋_GB2312"/>
          <w:b w:val="0"/>
          <w:bCs/>
          <w:szCs w:val="32"/>
        </w:rPr>
      </w:pPr>
      <w:r>
        <w:rPr>
          <w:rFonts w:hint="eastAsia" w:ascii="黑体" w:hAnsi="黑体" w:cs="黑体"/>
          <w:b w:val="0"/>
          <w:bCs/>
          <w:szCs w:val="32"/>
        </w:rPr>
        <w:t>第六</w:t>
      </w:r>
      <w:r>
        <w:rPr>
          <w:rFonts w:ascii="黑体" w:hAnsi="黑体" w:cs="黑体"/>
          <w:b w:val="0"/>
          <w:bCs/>
          <w:szCs w:val="32"/>
        </w:rPr>
        <w:t xml:space="preserve">条  </w:t>
      </w:r>
      <w:r>
        <w:rPr>
          <w:rFonts w:ascii="Times New Roman" w:hAnsi="Times New Roman" w:eastAsia="仿宋_GB2312"/>
          <w:b w:val="0"/>
          <w:bCs/>
          <w:szCs w:val="32"/>
        </w:rPr>
        <w:t>省级药品监督管理部门应当及时向社会公示互联网药品医疗器械信息服务备案信息，并在完成备案之日起3个月内，对备案资料的真实性和规范性进行审查，必要时组织开展现场检查。对不符合备案条件的，省级药品监督管理部门应当责令其限期改正，逾期不改正的，取消其备案并向社会公告。</w:t>
      </w:r>
    </w:p>
    <w:p w14:paraId="4E2CA16F">
      <w:pPr>
        <w:pStyle w:val="2"/>
        <w:keepNext w:val="0"/>
        <w:keepLines w:val="0"/>
        <w:spacing w:before="0" w:after="0" w:line="600" w:lineRule="exact"/>
        <w:ind w:firstLine="640" w:firstLineChars="200"/>
        <w:rPr>
          <w:rFonts w:ascii="Times New Roman" w:hAnsi="Times New Roman" w:eastAsia="仿宋_GB2312"/>
          <w:b w:val="0"/>
          <w:bCs/>
          <w:szCs w:val="32"/>
        </w:rPr>
      </w:pPr>
      <w:r>
        <w:rPr>
          <w:rFonts w:hint="eastAsia" w:ascii="黑体" w:hAnsi="黑体" w:cs="黑体"/>
          <w:b w:val="0"/>
          <w:bCs/>
          <w:szCs w:val="32"/>
        </w:rPr>
        <w:t>第七</w:t>
      </w:r>
      <w:r>
        <w:rPr>
          <w:rFonts w:ascii="黑体" w:hAnsi="黑体" w:cs="黑体"/>
          <w:b w:val="0"/>
          <w:bCs/>
          <w:szCs w:val="32"/>
        </w:rPr>
        <w:t xml:space="preserve">条  </w:t>
      </w:r>
      <w:r>
        <w:rPr>
          <w:rFonts w:ascii="Times New Roman" w:hAnsi="Times New Roman" w:eastAsia="仿宋_GB2312"/>
          <w:b w:val="0"/>
          <w:bCs/>
          <w:szCs w:val="32"/>
        </w:rPr>
        <w:t>提供互联网</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信息服务的网站、客户端、应用程序，其首页或者主页面的显著位置应当持续公示互联网</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信息服务备案编号。</w:t>
      </w:r>
    </w:p>
    <w:p w14:paraId="5D58A410">
      <w:pPr>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登载的</w:t>
      </w:r>
      <w:r>
        <w:rPr>
          <w:rFonts w:eastAsia="仿宋_GB2312"/>
          <w:bCs/>
          <w:kern w:val="0"/>
          <w:sz w:val="32"/>
          <w:szCs w:val="32"/>
          <w:shd w:val="clear" w:color="auto" w:fill="FFFFFF"/>
          <w:lang w:val="en" w:bidi="ar"/>
        </w:rPr>
        <w:t>药品、医疗器械</w:t>
      </w:r>
      <w:r>
        <w:rPr>
          <w:rFonts w:eastAsia="仿宋_GB2312"/>
          <w:bCs/>
          <w:kern w:val="0"/>
          <w:sz w:val="32"/>
          <w:szCs w:val="32"/>
          <w:shd w:val="clear" w:color="auto" w:fill="FFFFFF"/>
          <w:lang w:bidi="ar"/>
        </w:rPr>
        <w:t>信息，</w:t>
      </w:r>
      <w:r>
        <w:rPr>
          <w:rFonts w:eastAsia="仿宋_GB2312"/>
          <w:bCs/>
          <w:kern w:val="0"/>
          <w:sz w:val="32"/>
          <w:szCs w:val="32"/>
          <w:shd w:val="clear" w:color="auto" w:fill="FFFFFF"/>
          <w:lang w:val="en" w:bidi="ar"/>
        </w:rPr>
        <w:t>应当合法、</w:t>
      </w:r>
      <w:r>
        <w:rPr>
          <w:rFonts w:eastAsia="仿宋_GB2312"/>
          <w:bCs/>
          <w:kern w:val="0"/>
          <w:sz w:val="32"/>
          <w:szCs w:val="32"/>
          <w:shd w:val="clear" w:color="auto" w:fill="FFFFFF"/>
          <w:lang w:bidi="ar"/>
        </w:rPr>
        <w:t>真实、准确、完整，并符合国家药品和医疗器械管理相关规定。</w:t>
      </w:r>
    </w:p>
    <w:p w14:paraId="4E19DA60">
      <w:pPr>
        <w:spacing w:line="600" w:lineRule="exact"/>
        <w:ind w:firstLine="640" w:firstLineChars="200"/>
        <w:rPr>
          <w:rFonts w:eastAsia="仿宋_GB2312"/>
          <w:bCs/>
          <w:kern w:val="0"/>
          <w:sz w:val="32"/>
          <w:szCs w:val="32"/>
          <w:shd w:val="clear" w:color="auto" w:fill="FFFFFF"/>
          <w:lang w:bidi="ar"/>
        </w:rPr>
      </w:pPr>
      <w:r>
        <w:rPr>
          <w:rFonts w:eastAsia="仿宋_GB2312"/>
          <w:bCs/>
          <w:kern w:val="0"/>
          <w:sz w:val="32"/>
          <w:szCs w:val="32"/>
          <w:shd w:val="clear" w:color="auto" w:fill="FFFFFF"/>
          <w:lang w:bidi="ar"/>
        </w:rPr>
        <w:t>不得发布麻醉药品、精神药品、医疗用毒性药品、放射性药品、戒毒药品和医疗机构制剂的产品信息。</w:t>
      </w:r>
    </w:p>
    <w:p w14:paraId="4CACBC7F">
      <w:pPr>
        <w:pStyle w:val="2"/>
        <w:keepNext w:val="0"/>
        <w:keepLines w:val="0"/>
        <w:spacing w:before="0" w:after="0" w:line="600" w:lineRule="exact"/>
        <w:ind w:firstLine="640" w:firstLineChars="200"/>
        <w:rPr>
          <w:rFonts w:ascii="Times New Roman" w:hAnsi="Times New Roman" w:eastAsia="仿宋_GB2312"/>
          <w:b w:val="0"/>
          <w:bCs/>
          <w:szCs w:val="32"/>
          <w:lang w:val="en"/>
        </w:rPr>
      </w:pPr>
      <w:r>
        <w:rPr>
          <w:rFonts w:hint="eastAsia" w:ascii="黑体" w:hAnsi="黑体" w:cs="黑体"/>
          <w:b w:val="0"/>
          <w:bCs/>
          <w:szCs w:val="32"/>
        </w:rPr>
        <w:t>第八</w:t>
      </w:r>
      <w:r>
        <w:rPr>
          <w:rFonts w:ascii="黑体" w:hAnsi="黑体" w:cs="黑体"/>
          <w:b w:val="0"/>
          <w:bCs/>
          <w:szCs w:val="32"/>
        </w:rPr>
        <w:t xml:space="preserve">条  </w:t>
      </w:r>
      <w:r>
        <w:rPr>
          <w:rFonts w:ascii="Times New Roman" w:hAnsi="Times New Roman" w:eastAsia="仿宋_GB2312"/>
          <w:b w:val="0"/>
          <w:bCs/>
          <w:szCs w:val="32"/>
        </w:rPr>
        <w:t>信息服务提供者应当指定至少</w:t>
      </w:r>
      <w:r>
        <w:rPr>
          <w:rFonts w:hint="eastAsia" w:ascii="Times New Roman" w:hAnsi="Times New Roman" w:eastAsia="仿宋_GB2312"/>
          <w:b w:val="0"/>
          <w:bCs/>
          <w:szCs w:val="32"/>
        </w:rPr>
        <w:t>一</w:t>
      </w:r>
      <w:r>
        <w:rPr>
          <w:rFonts w:ascii="Times New Roman" w:hAnsi="Times New Roman" w:eastAsia="仿宋_GB2312"/>
          <w:b w:val="0"/>
          <w:bCs/>
          <w:szCs w:val="32"/>
        </w:rPr>
        <w:t>名熟悉</w:t>
      </w:r>
      <w:r>
        <w:rPr>
          <w:rFonts w:ascii="Times New Roman" w:hAnsi="Times New Roman" w:eastAsia="仿宋_GB2312"/>
          <w:b w:val="0"/>
          <w:bCs/>
          <w:szCs w:val="32"/>
          <w:lang w:val="en"/>
        </w:rPr>
        <w:t>药品、医疗器械</w:t>
      </w:r>
      <w:r>
        <w:rPr>
          <w:rFonts w:ascii="Times New Roman" w:hAnsi="Times New Roman" w:eastAsia="仿宋_GB2312"/>
          <w:b w:val="0"/>
          <w:bCs/>
          <w:szCs w:val="32"/>
        </w:rPr>
        <w:t>管理法律、法规的管理人员</w:t>
      </w:r>
      <w:r>
        <w:rPr>
          <w:rFonts w:ascii="Times New Roman" w:hAnsi="Times New Roman" w:eastAsia="仿宋_GB2312"/>
          <w:b w:val="0"/>
          <w:bCs/>
          <w:szCs w:val="32"/>
          <w:lang w:val="en"/>
        </w:rPr>
        <w:t>，</w:t>
      </w:r>
      <w:r>
        <w:rPr>
          <w:rFonts w:ascii="Times New Roman" w:hAnsi="Times New Roman" w:eastAsia="仿宋_GB2312"/>
          <w:b w:val="0"/>
          <w:bCs/>
          <w:szCs w:val="32"/>
        </w:rPr>
        <w:t>负责</w:t>
      </w:r>
      <w:r>
        <w:rPr>
          <w:rFonts w:ascii="Times New Roman" w:hAnsi="Times New Roman" w:eastAsia="仿宋_GB2312"/>
          <w:b w:val="0"/>
          <w:bCs/>
          <w:szCs w:val="32"/>
          <w:lang w:val="en"/>
        </w:rPr>
        <w:t>定期对</w:t>
      </w:r>
      <w:r>
        <w:rPr>
          <w:rFonts w:ascii="Times New Roman" w:hAnsi="Times New Roman" w:eastAsia="仿宋_GB2312"/>
          <w:b w:val="0"/>
          <w:bCs/>
          <w:szCs w:val="32"/>
        </w:rPr>
        <w:t>网站、客户端、应用程序所登载的</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w:t>
      </w:r>
      <w:r>
        <w:rPr>
          <w:rFonts w:ascii="Times New Roman" w:hAnsi="Times New Roman" w:eastAsia="仿宋_GB2312"/>
          <w:b w:val="0"/>
          <w:bCs/>
          <w:szCs w:val="32"/>
          <w:lang w:val="en"/>
        </w:rPr>
        <w:t>组织</w:t>
      </w:r>
      <w:r>
        <w:rPr>
          <w:rFonts w:ascii="Times New Roman" w:hAnsi="Times New Roman" w:eastAsia="仿宋_GB2312"/>
          <w:b w:val="0"/>
          <w:bCs/>
          <w:szCs w:val="32"/>
        </w:rPr>
        <w:t>开展合规性检查，确保登载的</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信息持续符合本规定要求</w:t>
      </w:r>
      <w:r>
        <w:rPr>
          <w:rFonts w:ascii="Times New Roman" w:hAnsi="Times New Roman" w:eastAsia="仿宋_GB2312"/>
          <w:b w:val="0"/>
          <w:bCs/>
          <w:szCs w:val="32"/>
          <w:lang w:val="en"/>
        </w:rPr>
        <w:t>。</w:t>
      </w:r>
    </w:p>
    <w:p w14:paraId="1F5F06D1">
      <w:pPr>
        <w:pStyle w:val="2"/>
        <w:keepNext w:val="0"/>
        <w:keepLines w:val="0"/>
        <w:spacing w:before="0" w:after="0" w:line="600" w:lineRule="exact"/>
        <w:ind w:firstLine="640" w:firstLineChars="200"/>
        <w:rPr>
          <w:rFonts w:ascii="Times New Roman" w:hAnsi="Times New Roman" w:eastAsia="仿宋_GB2312"/>
          <w:b w:val="0"/>
          <w:bCs/>
          <w:szCs w:val="32"/>
          <w:lang w:val="en"/>
        </w:rPr>
      </w:pPr>
      <w:r>
        <w:rPr>
          <w:rFonts w:hint="eastAsia" w:ascii="黑体" w:hAnsi="黑体" w:cs="黑体"/>
          <w:b w:val="0"/>
          <w:bCs/>
          <w:szCs w:val="32"/>
        </w:rPr>
        <w:t>第九</w:t>
      </w:r>
      <w:r>
        <w:rPr>
          <w:rFonts w:ascii="黑体" w:hAnsi="黑体" w:cs="黑体"/>
          <w:b w:val="0"/>
          <w:bCs/>
          <w:szCs w:val="32"/>
        </w:rPr>
        <w:t xml:space="preserve">条  </w:t>
      </w:r>
      <w:r>
        <w:rPr>
          <w:rFonts w:ascii="Times New Roman" w:hAnsi="Times New Roman" w:eastAsia="仿宋_GB2312"/>
          <w:b w:val="0"/>
          <w:bCs/>
          <w:szCs w:val="32"/>
        </w:rPr>
        <w:t>信息服务提供者如</w:t>
      </w:r>
      <w:r>
        <w:rPr>
          <w:rFonts w:ascii="Times New Roman" w:hAnsi="Times New Roman" w:eastAsia="仿宋_GB2312"/>
          <w:b w:val="0"/>
          <w:bCs/>
          <w:szCs w:val="32"/>
          <w:lang w:val="en"/>
        </w:rPr>
        <w:t>自行终止提供</w:t>
      </w:r>
      <w:r>
        <w:rPr>
          <w:rFonts w:ascii="Times New Roman" w:hAnsi="Times New Roman" w:eastAsia="仿宋_GB2312"/>
          <w:b w:val="0"/>
          <w:bCs/>
          <w:szCs w:val="32"/>
        </w:rPr>
        <w:t>互联网</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信息服务</w:t>
      </w:r>
      <w:r>
        <w:rPr>
          <w:rFonts w:ascii="Times New Roman" w:hAnsi="Times New Roman" w:eastAsia="仿宋_GB2312"/>
          <w:b w:val="0"/>
          <w:bCs/>
          <w:szCs w:val="32"/>
          <w:lang w:val="en"/>
        </w:rPr>
        <w:t>，应当提前</w:t>
      </w:r>
      <w:r>
        <w:rPr>
          <w:rFonts w:ascii="Times New Roman" w:hAnsi="Times New Roman" w:eastAsia="仿宋_GB2312"/>
          <w:b w:val="0"/>
          <w:bCs/>
          <w:szCs w:val="32"/>
        </w:rPr>
        <w:t>3</w:t>
      </w:r>
      <w:r>
        <w:rPr>
          <w:rFonts w:ascii="Times New Roman" w:hAnsi="Times New Roman" w:eastAsia="仿宋_GB2312"/>
          <w:b w:val="0"/>
          <w:bCs/>
          <w:szCs w:val="32"/>
          <w:lang w:val="en"/>
        </w:rPr>
        <w:t>0日在</w:t>
      </w:r>
      <w:r>
        <w:rPr>
          <w:rFonts w:ascii="Times New Roman" w:hAnsi="Times New Roman" w:eastAsia="仿宋_GB2312"/>
          <w:b w:val="0"/>
          <w:bCs/>
          <w:szCs w:val="32"/>
        </w:rPr>
        <w:t>其网站的</w:t>
      </w:r>
      <w:r>
        <w:rPr>
          <w:rFonts w:ascii="Times New Roman" w:hAnsi="Times New Roman" w:eastAsia="仿宋_GB2312"/>
          <w:b w:val="0"/>
          <w:bCs/>
          <w:szCs w:val="32"/>
          <w:lang w:val="en"/>
        </w:rPr>
        <w:t>首页或者主页面显著位置持续公示有关信息，并向所在地省级药品监督管理部门取消备案。</w:t>
      </w:r>
    </w:p>
    <w:p w14:paraId="124C10A8">
      <w:pPr>
        <w:pStyle w:val="2"/>
        <w:keepNext w:val="0"/>
        <w:keepLines w:val="0"/>
        <w:spacing w:before="0" w:after="0" w:line="600" w:lineRule="exact"/>
        <w:ind w:firstLine="640" w:firstLineChars="200"/>
        <w:rPr>
          <w:rFonts w:ascii="Times New Roman" w:hAnsi="Times New Roman" w:eastAsia="仿宋_GB2312"/>
          <w:b w:val="0"/>
          <w:bCs/>
          <w:szCs w:val="32"/>
          <w:shd w:val="clear" w:color="auto" w:fill="FFFFFF"/>
          <w:lang w:val="en" w:bidi="ar"/>
        </w:rPr>
      </w:pPr>
      <w:r>
        <w:rPr>
          <w:rFonts w:hint="eastAsia" w:ascii="黑体" w:hAnsi="黑体" w:cs="黑体"/>
          <w:b w:val="0"/>
          <w:bCs/>
          <w:szCs w:val="32"/>
        </w:rPr>
        <w:t>第十</w:t>
      </w:r>
      <w:r>
        <w:rPr>
          <w:rFonts w:ascii="黑体" w:hAnsi="黑体" w:cs="黑体"/>
          <w:b w:val="0"/>
          <w:bCs/>
          <w:szCs w:val="32"/>
        </w:rPr>
        <w:t xml:space="preserve">条  </w:t>
      </w:r>
      <w:r>
        <w:rPr>
          <w:rFonts w:ascii="Times New Roman" w:hAnsi="Times New Roman" w:eastAsia="仿宋_GB2312"/>
          <w:b w:val="0"/>
          <w:bCs/>
          <w:szCs w:val="32"/>
        </w:rPr>
        <w:t>药品监督管理部门利用信息化、数字化、智能化等手段，对提供互联网</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信息服务网站、客户端、应用程序登载的</w:t>
      </w:r>
      <w:r>
        <w:rPr>
          <w:rFonts w:ascii="Times New Roman" w:hAnsi="Times New Roman" w:eastAsia="仿宋_GB2312"/>
          <w:b w:val="0"/>
          <w:bCs/>
          <w:szCs w:val="32"/>
          <w:lang w:val="en"/>
        </w:rPr>
        <w:t>药品、医疗器械</w:t>
      </w:r>
      <w:r>
        <w:rPr>
          <w:rFonts w:ascii="Times New Roman" w:hAnsi="Times New Roman" w:eastAsia="仿宋_GB2312"/>
          <w:b w:val="0"/>
          <w:bCs/>
          <w:szCs w:val="32"/>
        </w:rPr>
        <w:t>信息开展网络监测</w:t>
      </w:r>
      <w:r>
        <w:rPr>
          <w:rFonts w:ascii="Times New Roman" w:hAnsi="Times New Roman" w:eastAsia="仿宋_GB2312"/>
          <w:b w:val="0"/>
          <w:bCs/>
          <w:szCs w:val="32"/>
          <w:lang w:val="en"/>
        </w:rPr>
        <w:t>。</w:t>
      </w:r>
    </w:p>
    <w:p w14:paraId="717F967D">
      <w:pPr>
        <w:pStyle w:val="2"/>
        <w:keepNext w:val="0"/>
        <w:keepLines w:val="0"/>
        <w:spacing w:before="0" w:after="0" w:line="600" w:lineRule="exact"/>
        <w:ind w:firstLine="640" w:firstLineChars="200"/>
        <w:rPr>
          <w:rFonts w:hint="eastAsia" w:ascii="Times New Roman" w:hAnsi="Times New Roman" w:eastAsia="仿宋_GB2312"/>
          <w:b w:val="0"/>
          <w:bCs/>
          <w:szCs w:val="32"/>
        </w:rPr>
      </w:pPr>
      <w:r>
        <w:rPr>
          <w:rFonts w:hint="eastAsia" w:ascii="黑体" w:hAnsi="黑体" w:cs="黑体"/>
          <w:b w:val="0"/>
          <w:bCs/>
          <w:szCs w:val="32"/>
        </w:rPr>
        <w:t>第十一</w:t>
      </w:r>
      <w:r>
        <w:rPr>
          <w:rFonts w:ascii="黑体" w:hAnsi="黑体" w:cs="黑体"/>
          <w:b w:val="0"/>
          <w:bCs/>
          <w:szCs w:val="32"/>
        </w:rPr>
        <w:t xml:space="preserve">条  </w:t>
      </w:r>
      <w:r>
        <w:rPr>
          <w:rFonts w:ascii="Times New Roman" w:hAnsi="Times New Roman" w:eastAsia="仿宋_GB2312"/>
          <w:b w:val="0"/>
          <w:bCs/>
          <w:szCs w:val="32"/>
        </w:rPr>
        <w:t>药品监督管理部门发现信息服务提供者存在下列情形的，应当</w:t>
      </w:r>
      <w:r>
        <w:rPr>
          <w:rFonts w:ascii="Times New Roman" w:hAnsi="Times New Roman" w:eastAsia="仿宋_GB2312"/>
          <w:b w:val="0"/>
          <w:bCs/>
          <w:szCs w:val="32"/>
          <w:lang w:val="en"/>
        </w:rPr>
        <w:t>责令限期改正，</w:t>
      </w:r>
      <w:r>
        <w:rPr>
          <w:rFonts w:ascii="Times New Roman" w:hAnsi="Times New Roman" w:eastAsia="仿宋_GB2312"/>
          <w:b w:val="0"/>
          <w:bCs/>
          <w:szCs w:val="32"/>
        </w:rPr>
        <w:t>必要时</w:t>
      </w:r>
      <w:r>
        <w:rPr>
          <w:rFonts w:ascii="Times New Roman" w:hAnsi="Times New Roman" w:eastAsia="仿宋_GB2312"/>
          <w:b w:val="0"/>
          <w:bCs/>
          <w:szCs w:val="32"/>
          <w:lang w:val="en"/>
        </w:rPr>
        <w:t>可以采取约谈法定代表人</w:t>
      </w:r>
      <w:r>
        <w:rPr>
          <w:rFonts w:ascii="Times New Roman" w:hAnsi="Times New Roman" w:eastAsia="仿宋_GB2312"/>
          <w:b w:val="0"/>
          <w:bCs/>
          <w:szCs w:val="32"/>
        </w:rPr>
        <w:t>或者主要</w:t>
      </w:r>
      <w:r>
        <w:rPr>
          <w:rFonts w:ascii="Times New Roman" w:hAnsi="Times New Roman" w:eastAsia="仿宋_GB2312"/>
          <w:b w:val="0"/>
          <w:bCs/>
          <w:szCs w:val="32"/>
          <w:lang w:val="en"/>
        </w:rPr>
        <w:t>负责人、向社会公告等措施</w:t>
      </w:r>
      <w:r>
        <w:rPr>
          <w:rFonts w:hint="eastAsia" w:ascii="Times New Roman" w:hAnsi="Times New Roman" w:eastAsia="仿宋_GB2312"/>
          <w:b w:val="0"/>
          <w:bCs/>
          <w:szCs w:val="32"/>
          <w:lang w:val="en"/>
        </w:rPr>
        <w:t>。</w:t>
      </w:r>
    </w:p>
    <w:p w14:paraId="09B9BE02">
      <w:pPr>
        <w:spacing w:line="600" w:lineRule="exact"/>
        <w:ind w:firstLine="640" w:firstLineChars="200"/>
        <w:rPr>
          <w:rFonts w:eastAsia="仿宋_GB2312"/>
          <w:bCs/>
          <w:kern w:val="0"/>
          <w:sz w:val="32"/>
          <w:szCs w:val="32"/>
          <w:shd w:val="clear" w:color="auto" w:fill="FFFFFF"/>
          <w:lang w:val="en" w:bidi="ar"/>
        </w:rPr>
      </w:pPr>
      <w:r>
        <w:rPr>
          <w:rFonts w:eastAsia="仿宋_GB2312"/>
          <w:bCs/>
          <w:kern w:val="0"/>
          <w:sz w:val="32"/>
          <w:szCs w:val="32"/>
          <w:shd w:val="clear" w:color="auto" w:fill="FFFFFF"/>
          <w:lang w:val="en" w:bidi="ar"/>
        </w:rPr>
        <w:t>（一）未按照本规定办理备案，提供互联网药品医疗器械信息服务的；</w:t>
      </w:r>
    </w:p>
    <w:p w14:paraId="1883EE8D">
      <w:pPr>
        <w:spacing w:line="600" w:lineRule="exact"/>
        <w:ind w:firstLine="640" w:firstLineChars="200"/>
        <w:rPr>
          <w:rFonts w:eastAsia="仿宋_GB2312"/>
          <w:bCs/>
          <w:kern w:val="0"/>
          <w:sz w:val="32"/>
          <w:szCs w:val="32"/>
          <w:shd w:val="clear" w:color="auto" w:fill="FFFFFF"/>
          <w:lang w:val="en" w:bidi="ar"/>
        </w:rPr>
      </w:pPr>
      <w:r>
        <w:rPr>
          <w:rFonts w:eastAsia="仿宋_GB2312"/>
          <w:bCs/>
          <w:kern w:val="0"/>
          <w:sz w:val="32"/>
          <w:szCs w:val="32"/>
          <w:shd w:val="clear" w:color="auto" w:fill="FFFFFF"/>
          <w:lang w:val="en" w:bidi="ar"/>
        </w:rPr>
        <w:t>（二）违反本</w:t>
      </w:r>
      <w:r>
        <w:rPr>
          <w:rFonts w:eastAsia="仿宋_GB2312"/>
          <w:bCs/>
          <w:kern w:val="0"/>
          <w:sz w:val="32"/>
          <w:szCs w:val="32"/>
          <w:shd w:val="clear" w:color="auto" w:fill="FFFFFF"/>
          <w:lang w:bidi="ar"/>
        </w:rPr>
        <w:t>规定</w:t>
      </w:r>
      <w:r>
        <w:rPr>
          <w:rFonts w:eastAsia="仿宋_GB2312"/>
          <w:bCs/>
          <w:kern w:val="0"/>
          <w:sz w:val="32"/>
          <w:szCs w:val="32"/>
          <w:shd w:val="clear" w:color="auto" w:fill="FFFFFF"/>
          <w:lang w:val="en" w:bidi="ar"/>
        </w:rPr>
        <w:t>第七条、第八条规定提供互联网药品医疗器械</w:t>
      </w:r>
      <w:r>
        <w:rPr>
          <w:rFonts w:eastAsia="仿宋_GB2312"/>
          <w:bCs/>
          <w:kern w:val="0"/>
          <w:sz w:val="32"/>
          <w:szCs w:val="32"/>
          <w:shd w:val="clear" w:color="auto" w:fill="FFFFFF"/>
          <w:lang w:bidi="ar"/>
        </w:rPr>
        <w:t>信息服务的</w:t>
      </w:r>
      <w:r>
        <w:rPr>
          <w:rFonts w:eastAsia="仿宋_GB2312"/>
          <w:bCs/>
          <w:kern w:val="0"/>
          <w:sz w:val="32"/>
          <w:szCs w:val="32"/>
          <w:shd w:val="clear" w:color="auto" w:fill="FFFFFF"/>
          <w:lang w:val="en" w:bidi="ar"/>
        </w:rPr>
        <w:t>；</w:t>
      </w:r>
    </w:p>
    <w:p w14:paraId="1E5BA40A">
      <w:pPr>
        <w:spacing w:line="600" w:lineRule="exact"/>
        <w:ind w:firstLine="640" w:firstLineChars="200"/>
        <w:rPr>
          <w:rFonts w:eastAsia="仿宋_GB2312"/>
          <w:bCs/>
          <w:kern w:val="0"/>
          <w:sz w:val="32"/>
          <w:szCs w:val="32"/>
          <w:shd w:val="clear" w:color="auto" w:fill="FFFFFF"/>
          <w:lang w:val="en" w:bidi="ar"/>
        </w:rPr>
      </w:pPr>
      <w:r>
        <w:rPr>
          <w:rFonts w:eastAsia="仿宋_GB2312"/>
          <w:bCs/>
          <w:kern w:val="0"/>
          <w:sz w:val="32"/>
          <w:szCs w:val="32"/>
          <w:shd w:val="clear" w:color="auto" w:fill="FFFFFF"/>
          <w:lang w:val="en" w:bidi="ar"/>
        </w:rPr>
        <w:t>（三）网站、客户端、应用程序登载的药品、医疗器械信息产生</w:t>
      </w:r>
      <w:r>
        <w:rPr>
          <w:rFonts w:eastAsia="仿宋_GB2312"/>
          <w:bCs/>
          <w:kern w:val="0"/>
          <w:sz w:val="32"/>
          <w:szCs w:val="32"/>
          <w:shd w:val="clear" w:color="auto" w:fill="FFFFFF"/>
          <w:lang w:bidi="ar"/>
        </w:rPr>
        <w:t>负面影响</w:t>
      </w:r>
      <w:r>
        <w:rPr>
          <w:rFonts w:eastAsia="仿宋_GB2312"/>
          <w:bCs/>
          <w:kern w:val="0"/>
          <w:sz w:val="32"/>
          <w:szCs w:val="32"/>
          <w:shd w:val="clear" w:color="auto" w:fill="FFFFFF"/>
          <w:lang w:val="en" w:bidi="ar"/>
        </w:rPr>
        <w:t>或</w:t>
      </w:r>
      <w:r>
        <w:rPr>
          <w:rFonts w:eastAsia="仿宋_GB2312"/>
          <w:bCs/>
          <w:kern w:val="0"/>
          <w:sz w:val="32"/>
          <w:szCs w:val="32"/>
          <w:shd w:val="clear" w:color="auto" w:fill="FFFFFF"/>
          <w:lang w:bidi="ar"/>
        </w:rPr>
        <w:t>者</w:t>
      </w:r>
      <w:r>
        <w:rPr>
          <w:rFonts w:eastAsia="仿宋_GB2312"/>
          <w:bCs/>
          <w:kern w:val="0"/>
          <w:sz w:val="32"/>
          <w:szCs w:val="32"/>
          <w:shd w:val="clear" w:color="auto" w:fill="FFFFFF"/>
          <w:lang w:val="en" w:bidi="ar"/>
        </w:rPr>
        <w:t>存在其</w:t>
      </w:r>
      <w:r>
        <w:rPr>
          <w:rFonts w:eastAsia="仿宋_GB2312"/>
          <w:bCs/>
          <w:kern w:val="0"/>
          <w:sz w:val="32"/>
          <w:szCs w:val="32"/>
          <w:shd w:val="clear" w:color="auto" w:fill="FFFFFF"/>
          <w:lang w:bidi="ar"/>
        </w:rPr>
        <w:t>他</w:t>
      </w:r>
      <w:r>
        <w:rPr>
          <w:rFonts w:eastAsia="仿宋_GB2312"/>
          <w:bCs/>
          <w:kern w:val="0"/>
          <w:sz w:val="32"/>
          <w:szCs w:val="32"/>
          <w:shd w:val="clear" w:color="auto" w:fill="FFFFFF"/>
          <w:lang w:val="en" w:bidi="ar"/>
        </w:rPr>
        <w:t>安全风险的。</w:t>
      </w:r>
    </w:p>
    <w:p w14:paraId="3AF46030">
      <w:pPr>
        <w:pStyle w:val="2"/>
        <w:keepNext w:val="0"/>
        <w:keepLines w:val="0"/>
        <w:spacing w:before="0" w:after="0" w:line="600" w:lineRule="exact"/>
        <w:ind w:firstLine="640" w:firstLineChars="200"/>
        <w:rPr>
          <w:rFonts w:ascii="Times New Roman" w:hAnsi="Times New Roman" w:eastAsia="仿宋_GB2312"/>
          <w:b w:val="0"/>
          <w:bCs/>
          <w:szCs w:val="32"/>
        </w:rPr>
      </w:pPr>
      <w:r>
        <w:rPr>
          <w:rFonts w:hint="eastAsia" w:ascii="黑体" w:hAnsi="黑体" w:cs="黑体"/>
          <w:b w:val="0"/>
          <w:bCs/>
          <w:szCs w:val="32"/>
        </w:rPr>
        <w:t>第十二</w:t>
      </w:r>
      <w:r>
        <w:rPr>
          <w:rFonts w:ascii="黑体" w:hAnsi="黑体" w:cs="黑体"/>
          <w:b w:val="0"/>
          <w:bCs/>
          <w:szCs w:val="32"/>
        </w:rPr>
        <w:t xml:space="preserve">条  </w:t>
      </w:r>
      <w:r>
        <w:rPr>
          <w:rFonts w:ascii="Times New Roman" w:hAnsi="Times New Roman" w:eastAsia="仿宋_GB2312"/>
          <w:b w:val="0"/>
          <w:bCs/>
          <w:szCs w:val="32"/>
          <w:lang w:val="en"/>
        </w:rPr>
        <w:t>药品监督管理部门</w:t>
      </w:r>
      <w:r>
        <w:rPr>
          <w:rFonts w:ascii="Times New Roman" w:hAnsi="Times New Roman" w:eastAsia="仿宋_GB2312"/>
          <w:b w:val="0"/>
          <w:bCs/>
          <w:szCs w:val="32"/>
        </w:rPr>
        <w:t>在检查中发现网站、客户端、应用程序存在</w:t>
      </w:r>
      <w:r>
        <w:rPr>
          <w:rFonts w:ascii="Times New Roman" w:hAnsi="Times New Roman" w:eastAsia="仿宋_GB2312"/>
          <w:b w:val="0"/>
          <w:bCs/>
          <w:szCs w:val="32"/>
          <w:lang w:val="en"/>
        </w:rPr>
        <w:t>涉嫌违反互联网信息服务管理和其他相关法律、法规规定的，应当依法移交有关部门调查处置</w:t>
      </w:r>
      <w:r>
        <w:rPr>
          <w:rFonts w:ascii="Times New Roman" w:hAnsi="Times New Roman" w:eastAsia="仿宋_GB2312"/>
          <w:b w:val="0"/>
          <w:bCs/>
          <w:szCs w:val="32"/>
        </w:rPr>
        <w:t>。</w:t>
      </w:r>
    </w:p>
    <w:p w14:paraId="2A6D86E8">
      <w:pPr>
        <w:pStyle w:val="2"/>
        <w:keepNext w:val="0"/>
        <w:keepLines w:val="0"/>
        <w:spacing w:before="0" w:after="0" w:line="600" w:lineRule="exact"/>
        <w:ind w:firstLine="640" w:firstLineChars="200"/>
        <w:rPr>
          <w:rFonts w:ascii="Times New Roman" w:hAnsi="Times New Roman" w:eastAsia="仿宋_GB2312"/>
          <w:b w:val="0"/>
          <w:bCs/>
          <w:szCs w:val="32"/>
          <w:shd w:val="clear" w:color="auto" w:fill="FFFFFF"/>
          <w:lang w:bidi="ar"/>
        </w:rPr>
      </w:pPr>
      <w:r>
        <w:rPr>
          <w:rFonts w:hint="eastAsia" w:ascii="黑体" w:hAnsi="黑体" w:cs="黑体"/>
          <w:b w:val="0"/>
          <w:bCs/>
          <w:szCs w:val="32"/>
        </w:rPr>
        <w:t>第十三</w:t>
      </w:r>
      <w:r>
        <w:rPr>
          <w:rFonts w:ascii="黑体" w:hAnsi="黑体" w:cs="黑体"/>
          <w:b w:val="0"/>
          <w:bCs/>
          <w:szCs w:val="32"/>
        </w:rPr>
        <w:t xml:space="preserve">条  </w:t>
      </w:r>
      <w:r>
        <w:rPr>
          <w:rFonts w:ascii="Times New Roman" w:hAnsi="Times New Roman" w:eastAsia="仿宋_GB2312"/>
          <w:b w:val="0"/>
          <w:bCs/>
          <w:szCs w:val="32"/>
        </w:rPr>
        <w:t>互联网药品医疗器械信息服务备案编号的编排方式为：X网药械信备字〔XXXX〕XXXXXX号。其中：第一位X代表备案部门所在地省、自治区、直辖市的简称；第二到五位X代表备案年份；第六到十一位X代表备案流水号。</w:t>
      </w:r>
    </w:p>
    <w:p w14:paraId="1212ABCA">
      <w:pPr>
        <w:spacing w:line="600" w:lineRule="exact"/>
        <w:ind w:firstLine="640" w:firstLineChars="200"/>
        <w:rPr>
          <w:rFonts w:eastAsia="仿宋_GB2312"/>
          <w:bCs/>
          <w:sz w:val="32"/>
          <w:szCs w:val="32"/>
        </w:rPr>
      </w:pPr>
      <w:r>
        <w:rPr>
          <w:rFonts w:hint="eastAsia" w:ascii="黑体" w:hAnsi="黑体" w:eastAsia="黑体" w:cs="黑体"/>
          <w:bCs/>
          <w:sz w:val="32"/>
          <w:szCs w:val="32"/>
        </w:rPr>
        <w:t>第十四</w:t>
      </w:r>
      <w:r>
        <w:rPr>
          <w:rFonts w:ascii="黑体" w:hAnsi="黑体" w:eastAsia="黑体" w:cs="黑体"/>
          <w:bCs/>
          <w:sz w:val="32"/>
          <w:szCs w:val="32"/>
        </w:rPr>
        <w:t xml:space="preserve">条  </w:t>
      </w:r>
      <w:r>
        <w:rPr>
          <w:rFonts w:eastAsia="仿宋_GB2312"/>
          <w:bCs/>
          <w:sz w:val="32"/>
          <w:szCs w:val="32"/>
        </w:rPr>
        <w:t>本规定自公布之日起施</w:t>
      </w:r>
      <w:r>
        <w:rPr>
          <w:rFonts w:hint="eastAsia" w:eastAsia="仿宋_GB2312"/>
          <w:bCs/>
          <w:sz w:val="32"/>
          <w:szCs w:val="32"/>
        </w:rPr>
        <w:t>行</w:t>
      </w:r>
      <w:r>
        <w:rPr>
          <w:rFonts w:eastAsia="仿宋_GB2312"/>
          <w:bCs/>
          <w:sz w:val="32"/>
          <w:szCs w:val="32"/>
        </w:rPr>
        <w:t>。</w:t>
      </w:r>
    </w:p>
    <w:sectPr>
      <w:footerReference r:id="rId3" w:type="default"/>
      <w:footerReference r:id="rId4" w:type="even"/>
      <w:pgSz w:w="11906" w:h="16838"/>
      <w:pgMar w:top="1928" w:right="1531" w:bottom="1701" w:left="1531"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9078">
    <w:pPr>
      <w:pStyle w:val="5"/>
    </w:pPr>
    <w:r>
      <w:pict>
        <v:shape id="文本框 1" o:spid="_x0000_s205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38EBAE6">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0122">
    <w:pPr>
      <w:pStyle w:val="5"/>
    </w:pPr>
    <w:r>
      <w:pict>
        <v:shape id="文本框 2"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6840317">
                <w:pPr>
                  <w:pStyle w:val="5"/>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1643"/>
    <w:rsid w:val="00453B18"/>
    <w:rsid w:val="004A48F4"/>
    <w:rsid w:val="004A5C4E"/>
    <w:rsid w:val="004D7576"/>
    <w:rsid w:val="004F27D3"/>
    <w:rsid w:val="0050179C"/>
    <w:rsid w:val="00536980"/>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67398"/>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BF7C52"/>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7F8EAF"/>
    <w:rsid w:val="0BEC7EA0"/>
    <w:rsid w:val="0F98BBE4"/>
    <w:rsid w:val="0F9E0E77"/>
    <w:rsid w:val="17EFDC0D"/>
    <w:rsid w:val="1EDFF5EC"/>
    <w:rsid w:val="25FE1383"/>
    <w:rsid w:val="2A8D465A"/>
    <w:rsid w:val="33FF8087"/>
    <w:rsid w:val="37D169EA"/>
    <w:rsid w:val="3BB142F8"/>
    <w:rsid w:val="3BFD2301"/>
    <w:rsid w:val="3CEF1EBA"/>
    <w:rsid w:val="3F7FF754"/>
    <w:rsid w:val="3FEF4C40"/>
    <w:rsid w:val="3FFF1A7D"/>
    <w:rsid w:val="43E2636A"/>
    <w:rsid w:val="4C1A048F"/>
    <w:rsid w:val="4F1E6614"/>
    <w:rsid w:val="553D88BE"/>
    <w:rsid w:val="591D3208"/>
    <w:rsid w:val="5DEBAAB1"/>
    <w:rsid w:val="5EDE43F9"/>
    <w:rsid w:val="5F297A5F"/>
    <w:rsid w:val="63E446CD"/>
    <w:rsid w:val="6AFF3CE6"/>
    <w:rsid w:val="6F57D11B"/>
    <w:rsid w:val="6FD644EE"/>
    <w:rsid w:val="6FFF1FC2"/>
    <w:rsid w:val="6FFFA2FF"/>
    <w:rsid w:val="71A76DF2"/>
    <w:rsid w:val="71BE4721"/>
    <w:rsid w:val="72541465"/>
    <w:rsid w:val="72FDBB2C"/>
    <w:rsid w:val="73EA1B81"/>
    <w:rsid w:val="776D23A8"/>
    <w:rsid w:val="777D2403"/>
    <w:rsid w:val="77FFAEB3"/>
    <w:rsid w:val="77FFF503"/>
    <w:rsid w:val="7B673BFF"/>
    <w:rsid w:val="7BBF3C79"/>
    <w:rsid w:val="7CFE48FC"/>
    <w:rsid w:val="7DBDD0F5"/>
    <w:rsid w:val="7DFBAD66"/>
    <w:rsid w:val="7E3E9E8D"/>
    <w:rsid w:val="7ED62E8A"/>
    <w:rsid w:val="7EDFCA43"/>
    <w:rsid w:val="7EFD7B64"/>
    <w:rsid w:val="7F3A5704"/>
    <w:rsid w:val="7F7F4C3A"/>
    <w:rsid w:val="7FBB9E83"/>
    <w:rsid w:val="7FF3F752"/>
    <w:rsid w:val="7FFD3577"/>
    <w:rsid w:val="7FFF02A2"/>
    <w:rsid w:val="9DFF3B55"/>
    <w:rsid w:val="9FDFD8BC"/>
    <w:rsid w:val="9FFD6B20"/>
    <w:rsid w:val="ABEF2A48"/>
    <w:rsid w:val="AFF3CE8F"/>
    <w:rsid w:val="BB6F3670"/>
    <w:rsid w:val="BFBF506C"/>
    <w:rsid w:val="C6E55CC2"/>
    <w:rsid w:val="D49E41EF"/>
    <w:rsid w:val="D64B6B35"/>
    <w:rsid w:val="D93FDAE3"/>
    <w:rsid w:val="D9657C5B"/>
    <w:rsid w:val="DBEFDD44"/>
    <w:rsid w:val="DBFECD31"/>
    <w:rsid w:val="DDF7C17E"/>
    <w:rsid w:val="DFF4971D"/>
    <w:rsid w:val="DFFF4AC1"/>
    <w:rsid w:val="E9EDDAFE"/>
    <w:rsid w:val="EBF54925"/>
    <w:rsid w:val="EEDE672B"/>
    <w:rsid w:val="EFEF34F1"/>
    <w:rsid w:val="F0ED477F"/>
    <w:rsid w:val="F4731324"/>
    <w:rsid w:val="F6FE08CF"/>
    <w:rsid w:val="F6FE31BB"/>
    <w:rsid w:val="F7FE4C3D"/>
    <w:rsid w:val="F9D79255"/>
    <w:rsid w:val="FB3F5DFB"/>
    <w:rsid w:val="FDEFA294"/>
    <w:rsid w:val="FDFBD6A5"/>
    <w:rsid w:val="FF97B0E1"/>
    <w:rsid w:val="FFDFBAF1"/>
    <w:rsid w:val="FFE3A638"/>
    <w:rsid w:val="FFE5E7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alloon Text"/>
    <w:basedOn w:val="1"/>
    <w:semiHidden/>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uiPriority w:val="0"/>
  </w:style>
  <w:style w:type="character" w:customStyle="1" w:styleId="11">
    <w:name w:val="页脚 Char"/>
    <w:link w:val="5"/>
    <w:uiPriority w:val="99"/>
    <w:rPr>
      <w:kern w:val="2"/>
      <w:sz w:val="18"/>
      <w:szCs w:val="18"/>
    </w:rPr>
  </w:style>
  <w:style w:type="character" w:customStyle="1" w:styleId="12">
    <w:name w:val="页眉 Char"/>
    <w:link w:val="6"/>
    <w:uiPriority w:val="99"/>
    <w:rPr>
      <w:kern w:val="2"/>
      <w:sz w:val="18"/>
      <w:szCs w:val="18"/>
    </w:rPr>
  </w:style>
  <w:style w:type="paragraph" w:customStyle="1" w:styleId="13">
    <w:name w:val="样式1"/>
    <w:basedOn w:val="1"/>
    <w:qFormat/>
    <w:uiPriority w:val="0"/>
    <w:pPr>
      <w:ind w:firstLine="602" w:firstLineChars="200"/>
    </w:pPr>
    <w:rPr>
      <w:rFonts w:ascii="仿宋" w:hAnsi="仿宋" w:eastAsia="仿宋" w:cs="Times New Roman"/>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4</Pages>
  <Words>1802</Words>
  <Characters>1812</Characters>
  <Lines>13</Lines>
  <Paragraphs>3</Paragraphs>
  <TotalTime>0</TotalTime>
  <ScaleCrop>false</ScaleCrop>
  <LinksUpToDate>false</LinksUpToDate>
  <CharactersWithSpaces>1840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2014-08-09T17:26:00Z</dcterms:created>
  <dc:creator>Xtzj.User</dc:creator>
  <cp:lastModifiedBy>zyy</cp:lastModifiedBy>
  <cp:lastPrinted>2025-12-22T10:01:00Z</cp:lastPrinted>
  <dcterms:modified xsi:type="dcterms:W3CDTF">2025-12-23T03:11:04Z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B80A668D7788497EAC7C2B9F9CC263D2_13</vt:lpwstr>
  </property>
</Properties>
</file>